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E422" w14:textId="77777777" w:rsidR="00C07EFA" w:rsidRDefault="00C07EFA" w:rsidP="00C07EFA">
      <w:pPr>
        <w:pStyle w:val="BodyA"/>
        <w:jc w:val="center"/>
        <w:rPr>
          <w:b/>
          <w:bCs/>
        </w:rPr>
      </w:pPr>
      <w:r>
        <w:rPr>
          <w:b/>
          <w:bCs/>
        </w:rPr>
        <w:t>Support to IPA Programming, Training and Project Preparation – Project Preparation Facility 7 (</w:t>
      </w:r>
      <w:r>
        <w:rPr>
          <w:b/>
          <w:bCs/>
          <w:lang w:val="it-IT"/>
        </w:rPr>
        <w:t>PPF 7) Serbia</w:t>
      </w:r>
    </w:p>
    <w:p w14:paraId="4B3DBCAD" w14:textId="77777777" w:rsidR="00C07EFA" w:rsidRPr="0030394B" w:rsidRDefault="00C07EFA" w:rsidP="00C07EFA">
      <w:pPr>
        <w:pStyle w:val="BodyA"/>
        <w:jc w:val="center"/>
        <w:rPr>
          <w:rFonts w:ascii="Times New Roman" w:hAnsi="Times New Roman" w:cs="Times New Roman"/>
          <w:color w:val="auto"/>
        </w:rPr>
      </w:pPr>
      <w:r>
        <w:rPr>
          <w:b/>
          <w:bCs/>
        </w:rPr>
        <w:t>Contract No.: 48-00-00204/2014-28</w:t>
      </w:r>
    </w:p>
    <w:p w14:paraId="162D2531" w14:textId="77777777" w:rsidR="00DA69A2" w:rsidRDefault="00DA69A2" w:rsidP="00DA69A2">
      <w:pPr>
        <w:pStyle w:val="BodyA"/>
        <w:tabs>
          <w:tab w:val="left" w:pos="6555"/>
        </w:tabs>
        <w:jc w:val="left"/>
        <w:rPr>
          <w:rFonts w:ascii="Times New Roman" w:hAnsi="Times New Roman" w:cs="Times New Roman"/>
          <w:color w:val="auto"/>
        </w:rPr>
      </w:pPr>
      <w:r>
        <w:rPr>
          <w:rFonts w:ascii="Times New Roman" w:hAnsi="Times New Roman" w:cs="Times New Roman"/>
          <w:color w:val="auto"/>
        </w:rPr>
        <w:tab/>
      </w:r>
    </w:p>
    <w:p w14:paraId="69659308" w14:textId="77777777" w:rsidR="00103A4B" w:rsidRPr="0030177E" w:rsidRDefault="00103A4B" w:rsidP="00103A4B">
      <w:pPr>
        <w:pStyle w:val="BodyA"/>
        <w:jc w:val="center"/>
        <w:rPr>
          <w:lang w:val="en-GB"/>
        </w:rPr>
      </w:pPr>
      <w:r w:rsidRPr="0030177E">
        <w:rPr>
          <w:b/>
          <w:bCs/>
          <w:sz w:val="22"/>
          <w:szCs w:val="22"/>
          <w:lang w:val="en-GB"/>
        </w:rPr>
        <w:t>TERMS OF REFERENCE</w:t>
      </w:r>
    </w:p>
    <w:p w14:paraId="78C67E75" w14:textId="77777777" w:rsidR="00103A4B" w:rsidRDefault="00103A4B" w:rsidP="00103A4B">
      <w:pPr>
        <w:pStyle w:val="BodyA"/>
        <w:jc w:val="center"/>
        <w:rPr>
          <w:b/>
          <w:bCs/>
          <w:sz w:val="22"/>
          <w:szCs w:val="22"/>
          <w:lang w:val="en-GB"/>
        </w:rPr>
      </w:pPr>
      <w:r w:rsidRPr="0030177E">
        <w:rPr>
          <w:b/>
          <w:bCs/>
          <w:sz w:val="22"/>
          <w:szCs w:val="22"/>
          <w:lang w:val="en-GB"/>
        </w:rPr>
        <w:t>Title of Activity: Senior NK</w:t>
      </w:r>
      <w:r>
        <w:rPr>
          <w:b/>
          <w:bCs/>
          <w:sz w:val="22"/>
          <w:szCs w:val="22"/>
          <w:lang w:val="en-GB"/>
        </w:rPr>
        <w:t xml:space="preserve"> </w:t>
      </w:r>
      <w:r w:rsidRPr="0030177E">
        <w:rPr>
          <w:b/>
          <w:bCs/>
          <w:sz w:val="22"/>
          <w:szCs w:val="22"/>
          <w:lang w:val="en-GB"/>
        </w:rPr>
        <w:t>Expert for</w:t>
      </w:r>
      <w:r>
        <w:rPr>
          <w:b/>
          <w:bCs/>
          <w:sz w:val="22"/>
          <w:szCs w:val="22"/>
          <w:lang w:val="en-GB"/>
        </w:rPr>
        <w:t xml:space="preserve"> Capital Market Development</w:t>
      </w:r>
      <w:r w:rsidRPr="0030177E">
        <w:rPr>
          <w:b/>
          <w:bCs/>
          <w:sz w:val="22"/>
          <w:szCs w:val="22"/>
          <w:lang w:val="en-GB"/>
        </w:rPr>
        <w:t xml:space="preserve"> </w:t>
      </w:r>
    </w:p>
    <w:p w14:paraId="71EE4590" w14:textId="77777777" w:rsidR="00103A4B" w:rsidRPr="0030177E" w:rsidRDefault="00103A4B" w:rsidP="00103A4B">
      <w:pPr>
        <w:pStyle w:val="BodyA"/>
        <w:jc w:val="center"/>
        <w:rPr>
          <w:lang w:val="en-GB"/>
        </w:rPr>
      </w:pPr>
    </w:p>
    <w:tbl>
      <w:tblPr>
        <w:tblW w:w="92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68"/>
        <w:gridCol w:w="5218"/>
      </w:tblGrid>
      <w:tr w:rsidR="00103A4B" w:rsidRPr="0030177E" w14:paraId="746C3E28" w14:textId="77777777" w:rsidTr="00B35E10">
        <w:trPr>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F9747" w14:textId="77777777" w:rsidR="00103A4B" w:rsidRPr="0030177E" w:rsidRDefault="00103A4B" w:rsidP="00B35E10">
            <w:pPr>
              <w:pStyle w:val="BodyA"/>
              <w:spacing w:before="60" w:after="60"/>
              <w:rPr>
                <w:lang w:val="en-GB"/>
              </w:rPr>
            </w:pPr>
            <w:r w:rsidRPr="0030177E">
              <w:rPr>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345" w14:textId="77777777" w:rsidR="00103A4B" w:rsidRPr="0030177E" w:rsidRDefault="00103A4B" w:rsidP="00B35E10">
            <w:pPr>
              <w:pStyle w:val="NoSpacing"/>
              <w:spacing w:before="60" w:after="60"/>
              <w:jc w:val="left"/>
              <w:rPr>
                <w:lang w:val="en-GB"/>
              </w:rPr>
            </w:pPr>
            <w:r w:rsidRPr="0030177E">
              <w:rPr>
                <w:rFonts w:ascii="Arial" w:hAnsi="Arial"/>
                <w:b/>
                <w:bCs/>
                <w:lang w:val="en-GB"/>
              </w:rPr>
              <w:t>Senior</w:t>
            </w:r>
            <w:r>
              <w:rPr>
                <w:rFonts w:ascii="Arial" w:hAnsi="Arial"/>
                <w:b/>
                <w:bCs/>
                <w:lang w:val="en-GB"/>
              </w:rPr>
              <w:t xml:space="preserve"> </w:t>
            </w:r>
            <w:r>
              <w:rPr>
                <w:rFonts w:ascii="Arial" w:hAnsi="Arial"/>
                <w:b/>
                <w:bCs/>
                <w:color w:val="auto"/>
                <w:lang w:val="en-GB"/>
              </w:rPr>
              <w:t xml:space="preserve">NK </w:t>
            </w:r>
            <w:r w:rsidRPr="0030177E">
              <w:rPr>
                <w:rFonts w:ascii="Arial" w:hAnsi="Arial"/>
                <w:b/>
                <w:bCs/>
                <w:lang w:val="en-GB"/>
              </w:rPr>
              <w:t>Expert</w:t>
            </w:r>
          </w:p>
        </w:tc>
      </w:tr>
      <w:tr w:rsidR="00103A4B" w:rsidRPr="0030177E" w14:paraId="333B2F4D" w14:textId="77777777" w:rsidTr="00B35E10">
        <w:trPr>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97A8A" w14:textId="77777777" w:rsidR="00103A4B" w:rsidRPr="0030177E" w:rsidRDefault="00103A4B" w:rsidP="00B35E10">
            <w:pPr>
              <w:pStyle w:val="BodyA"/>
              <w:spacing w:before="60" w:after="60"/>
              <w:rPr>
                <w:lang w:val="en-GB"/>
              </w:rPr>
            </w:pPr>
            <w:r w:rsidRPr="0030177E">
              <w:rPr>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03A2" w14:textId="77777777" w:rsidR="00103A4B" w:rsidRPr="0030177E" w:rsidRDefault="00103A4B" w:rsidP="00B35E10">
            <w:pPr>
              <w:pStyle w:val="BodyA"/>
              <w:spacing w:before="60" w:after="60"/>
              <w:rPr>
                <w:lang w:val="en-GB"/>
              </w:rPr>
            </w:pPr>
            <w:r>
              <w:rPr>
                <w:lang w:val="en-GB"/>
              </w:rPr>
              <w:t xml:space="preserve">From April 2022 to June 2022 </w:t>
            </w:r>
          </w:p>
        </w:tc>
      </w:tr>
      <w:tr w:rsidR="00103A4B" w:rsidRPr="0030177E" w14:paraId="5B578359" w14:textId="77777777" w:rsidTr="00B35E10">
        <w:trPr>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6176" w14:textId="77777777" w:rsidR="00103A4B" w:rsidRPr="0030177E" w:rsidRDefault="00103A4B" w:rsidP="00B35E10">
            <w:pPr>
              <w:pStyle w:val="BodyA"/>
              <w:spacing w:before="60" w:after="60"/>
              <w:rPr>
                <w:lang w:val="en-GB"/>
              </w:rPr>
            </w:pPr>
            <w:r w:rsidRPr="0030177E">
              <w:rPr>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1A019" w14:textId="77777777" w:rsidR="00103A4B" w:rsidRPr="0030177E" w:rsidRDefault="00103A4B" w:rsidP="00B35E10">
            <w:pPr>
              <w:rPr>
                <w:lang w:val="en-GB"/>
              </w:rPr>
            </w:pPr>
            <w:r>
              <w:rPr>
                <w:rFonts w:ascii="Arial" w:hAnsi="Arial"/>
                <w:sz w:val="20"/>
                <w:szCs w:val="20"/>
                <w:lang w:val="en-GB"/>
              </w:rPr>
              <w:t>Up to 40</w:t>
            </w:r>
            <w:r w:rsidRPr="0030177E">
              <w:rPr>
                <w:rFonts w:ascii="Arial" w:hAnsi="Arial"/>
                <w:sz w:val="20"/>
                <w:szCs w:val="20"/>
                <w:lang w:val="en-GB"/>
              </w:rPr>
              <w:t xml:space="preserve"> WDs</w:t>
            </w:r>
          </w:p>
        </w:tc>
      </w:tr>
      <w:tr w:rsidR="00103A4B" w:rsidRPr="0030177E" w14:paraId="7B41E49F" w14:textId="77777777" w:rsidTr="00B35E10">
        <w:trPr>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CF60" w14:textId="77777777" w:rsidR="00103A4B" w:rsidRPr="0030177E" w:rsidRDefault="00103A4B" w:rsidP="00B35E10">
            <w:pPr>
              <w:pStyle w:val="BodyA"/>
              <w:spacing w:before="60" w:after="60"/>
              <w:rPr>
                <w:lang w:val="en-GB"/>
              </w:rPr>
            </w:pPr>
            <w:r w:rsidRPr="0030177E">
              <w:rPr>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E7688" w14:textId="77777777" w:rsidR="00103A4B" w:rsidRPr="0061060E" w:rsidRDefault="00103A4B" w:rsidP="00B35E10">
            <w:pPr>
              <w:pStyle w:val="BodyA"/>
              <w:spacing w:before="60" w:after="60"/>
              <w:rPr>
                <w:lang w:val="en-GB"/>
              </w:rPr>
            </w:pPr>
            <w:r w:rsidRPr="0061060E">
              <w:rPr>
                <w:rFonts w:cs="Arial"/>
                <w:lang w:val="en-GB"/>
              </w:rPr>
              <w:t xml:space="preserve">Support for policy advice, planning and programming and preparation of a Strategic Response, Action Documents and other documents as required for IPA 3 programming for the </w:t>
            </w:r>
            <w:r w:rsidRPr="0061060E">
              <w:rPr>
                <w:lang w:val="en-GB"/>
              </w:rPr>
              <w:t>financial sector.</w:t>
            </w:r>
          </w:p>
          <w:p w14:paraId="0AF62563" w14:textId="77777777" w:rsidR="00103A4B" w:rsidRPr="0061060E" w:rsidRDefault="00103A4B" w:rsidP="00B35E10">
            <w:pPr>
              <w:pStyle w:val="BodyA"/>
              <w:spacing w:before="60" w:after="60"/>
              <w:rPr>
                <w:lang w:val="en-GB"/>
              </w:rPr>
            </w:pPr>
            <w:r w:rsidRPr="0061060E">
              <w:rPr>
                <w:lang w:val="en-GB"/>
              </w:rPr>
              <w:t xml:space="preserve">Project activity no:   </w:t>
            </w:r>
          </w:p>
          <w:p w14:paraId="2005029C" w14:textId="66F5EB81" w:rsidR="00103A4B" w:rsidRPr="0061060E" w:rsidRDefault="00103A4B" w:rsidP="00B35E10">
            <w:pPr>
              <w:pStyle w:val="BodyA"/>
              <w:spacing w:before="60" w:after="60"/>
              <w:rPr>
                <w:lang w:val="en-GB"/>
              </w:rPr>
            </w:pPr>
            <w:r w:rsidRPr="0061060E">
              <w:t>1.1.1, 1.1.2, 1.1.3, 1.1.4, 1.1.5, 1.2.1, 1.2.3, 1.2.5, 1.3.1, 1.3.2, 1.3.3, 1.3.4, 1.3.5, 3.1.1, 3.1.2, 3.1.3, 3.1.4, 3.1.5, 3.1.6, 4.1, 4.2, 4.3, 4.4, 6.1, 6.2</w:t>
            </w:r>
          </w:p>
        </w:tc>
      </w:tr>
      <w:tr w:rsidR="00103A4B" w:rsidRPr="0030177E" w14:paraId="3649AEEA" w14:textId="77777777" w:rsidTr="00B35E10">
        <w:trPr>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CB2AE" w14:textId="77777777" w:rsidR="00103A4B" w:rsidRPr="0030177E" w:rsidRDefault="00103A4B" w:rsidP="00B35E10">
            <w:pPr>
              <w:pStyle w:val="BodyA"/>
              <w:spacing w:before="60" w:after="60"/>
              <w:rPr>
                <w:lang w:val="en-GB"/>
              </w:rPr>
            </w:pPr>
            <w:r w:rsidRPr="0030177E">
              <w:rPr>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F8E0E" w14:textId="77777777" w:rsidR="00103A4B" w:rsidRPr="0030177E" w:rsidRDefault="00103A4B" w:rsidP="00B35E10">
            <w:pPr>
              <w:pStyle w:val="BodyA"/>
              <w:spacing w:before="60" w:after="60"/>
              <w:rPr>
                <w:lang w:val="en-GB"/>
              </w:rPr>
            </w:pPr>
            <w:r w:rsidRPr="0030177E">
              <w:rPr>
                <w:lang w:val="en-GB"/>
              </w:rPr>
              <w:t>Serbia</w:t>
            </w:r>
          </w:p>
        </w:tc>
      </w:tr>
    </w:tbl>
    <w:p w14:paraId="43C81C5A" w14:textId="77777777" w:rsidR="00103A4B" w:rsidRPr="0030177E" w:rsidRDefault="00103A4B" w:rsidP="00103A4B">
      <w:pPr>
        <w:pStyle w:val="BodyA"/>
        <w:widowControl w:val="0"/>
        <w:rPr>
          <w:lang w:val="en-GB"/>
        </w:rPr>
      </w:pPr>
    </w:p>
    <w:p w14:paraId="6EF47E43" w14:textId="77777777" w:rsidR="00103A4B" w:rsidRPr="0030177E" w:rsidRDefault="00103A4B" w:rsidP="00103A4B">
      <w:pPr>
        <w:pStyle w:val="BodyA"/>
        <w:spacing w:after="0"/>
        <w:jc w:val="left"/>
        <w:rPr>
          <w:lang w:val="en-GB"/>
        </w:rPr>
      </w:pPr>
      <w:r w:rsidRPr="0030177E">
        <w:rPr>
          <w:lang w:val="en-GB"/>
        </w:rPr>
        <w:t xml:space="preserve">  </w:t>
      </w:r>
    </w:p>
    <w:p w14:paraId="349CBAD0" w14:textId="77777777" w:rsidR="00103A4B" w:rsidRPr="009E184F" w:rsidRDefault="00103A4B" w:rsidP="00103A4B">
      <w:pPr>
        <w:pStyle w:val="Heading1"/>
        <w:numPr>
          <w:ilvl w:val="0"/>
          <w:numId w:val="32"/>
        </w:numPr>
        <w:ind w:left="0" w:firstLine="0"/>
        <w:rPr>
          <w:rFonts w:ascii="Arial" w:hAnsi="Arial" w:cs="Arial"/>
          <w:b/>
          <w:bCs/>
          <w:lang w:val="en-GB"/>
        </w:rPr>
      </w:pPr>
      <w:r w:rsidRPr="009E184F">
        <w:rPr>
          <w:rFonts w:ascii="Arial" w:hAnsi="Arial" w:cs="Arial"/>
          <w:b/>
          <w:bCs/>
          <w:lang w:val="en-GB"/>
        </w:rPr>
        <w:t>CONTRACT OBJECTIVES &amp; EXPECTED RESULTS</w:t>
      </w:r>
    </w:p>
    <w:p w14:paraId="7BB79BBE" w14:textId="77777777" w:rsidR="00103A4B" w:rsidRPr="0030177E" w:rsidRDefault="00103A4B" w:rsidP="00103A4B">
      <w:pPr>
        <w:pStyle w:val="BodyA"/>
        <w:spacing w:before="120"/>
        <w:jc w:val="left"/>
        <w:rPr>
          <w:lang w:val="en-GB"/>
        </w:rPr>
      </w:pPr>
      <w:r w:rsidRPr="0030177E">
        <w:rPr>
          <w:b/>
          <w:bCs/>
          <w:sz w:val="22"/>
          <w:szCs w:val="22"/>
          <w:lang w:val="en-GB"/>
        </w:rPr>
        <w:t xml:space="preserve">1.1 </w:t>
      </w:r>
      <w:r w:rsidRPr="0030177E">
        <w:rPr>
          <w:b/>
          <w:bCs/>
          <w:sz w:val="22"/>
          <w:szCs w:val="22"/>
          <w:lang w:val="en-GB"/>
        </w:rPr>
        <w:tab/>
        <w:t>Background to the Assignment</w:t>
      </w:r>
    </w:p>
    <w:p w14:paraId="4DDED497" w14:textId="77777777" w:rsidR="00103A4B" w:rsidRDefault="00103A4B" w:rsidP="00103A4B">
      <w:pPr>
        <w:pStyle w:val="Default"/>
        <w:spacing w:after="120"/>
        <w:jc w:val="both"/>
        <w:rPr>
          <w:rFonts w:ascii="Arial" w:hAnsi="Arial" w:cs="Arial"/>
          <w:sz w:val="20"/>
          <w:szCs w:val="20"/>
          <w:lang w:val="en-US"/>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788E7566" w14:textId="77777777" w:rsidR="00103A4B" w:rsidRPr="0016797B" w:rsidRDefault="00103A4B" w:rsidP="00103A4B">
      <w:pPr>
        <w:pStyle w:val="Default"/>
        <w:spacing w:after="120"/>
        <w:jc w:val="both"/>
        <w:rPr>
          <w:rFonts w:ascii="Arial" w:hAnsi="Arial" w:cs="Arial"/>
          <w:sz w:val="20"/>
          <w:szCs w:val="20"/>
          <w:lang w:val="en-GB"/>
        </w:rPr>
      </w:pPr>
      <w:r w:rsidRPr="0016797B">
        <w:rPr>
          <w:rFonts w:ascii="Arial" w:hAnsi="Arial" w:cs="Arial"/>
          <w:b/>
          <w:bCs/>
          <w:sz w:val="20"/>
          <w:szCs w:val="20"/>
          <w:lang w:val="en-GB"/>
        </w:rPr>
        <w:t>The Economic and Investment Plan for the Western Balkans</w:t>
      </w:r>
      <w:r w:rsidRPr="0016797B">
        <w:rPr>
          <w:rFonts w:ascii="Arial" w:hAnsi="Arial" w:cs="Arial"/>
          <w:sz w:val="20"/>
          <w:szCs w:val="20"/>
          <w:vertAlign w:val="superscript"/>
          <w:lang w:val="en-GB"/>
        </w:rPr>
        <w:footnoteReference w:id="1"/>
      </w:r>
      <w:r w:rsidRPr="0016797B">
        <w:rPr>
          <w:rFonts w:ascii="Arial" w:hAnsi="Arial" w:cs="Arial"/>
          <w:sz w:val="20"/>
          <w:szCs w:val="20"/>
          <w:lang w:val="en-GB"/>
        </w:rPr>
        <w:t xml:space="preserve"> was then adopted by the European Commission on 6 October 2020 and was endorsed by Western Balkans leaders at the Western Balkans Summit on 10 November in Sofia.</w:t>
      </w:r>
      <w:r>
        <w:rPr>
          <w:rFonts w:ascii="Arial" w:hAnsi="Arial" w:cs="Arial"/>
          <w:sz w:val="20"/>
          <w:szCs w:val="20"/>
          <w:lang w:val="en-GB"/>
        </w:rPr>
        <w:t xml:space="preserve"> </w:t>
      </w:r>
      <w:r w:rsidRPr="0016797B">
        <w:rPr>
          <w:rFonts w:ascii="Arial" w:hAnsi="Arial" w:cs="Arial"/>
          <w:sz w:val="20"/>
          <w:szCs w:val="20"/>
          <w:lang w:val="en-GB"/>
        </w:rPr>
        <w:t xml:space="preserve">The Economic and Investment Plan outlines the European Commission’s proposal for a third phase of the Instrument for Pre-accession Assistance (IPA III) for the 2021 to 2027 period, of which the lion’s share is destined to the Western Balkans economies. Up to €9 billion in funding is expected to be mobilised under IPA III to support </w:t>
      </w:r>
      <w:r w:rsidRPr="0016797B">
        <w:rPr>
          <w:rFonts w:ascii="Arial" w:hAnsi="Arial" w:cs="Arial"/>
          <w:sz w:val="20"/>
          <w:szCs w:val="20"/>
          <w:lang w:val="en-GB"/>
        </w:rPr>
        <w:lastRenderedPageBreak/>
        <w:t>economic convergence with the EU primarily through investments and support to competitiveness and inclusive growth, sustainable connectivity, and the twin green and digital transition. Most of this funding should be directed at key productive investments and sustainable infrastructure.</w:t>
      </w:r>
      <w:r>
        <w:rPr>
          <w:rFonts w:ascii="Arial" w:hAnsi="Arial" w:cs="Arial"/>
          <w:sz w:val="20"/>
          <w:szCs w:val="20"/>
          <w:lang w:val="en-GB"/>
        </w:rPr>
        <w:t xml:space="preserve"> </w:t>
      </w:r>
      <w:r w:rsidRPr="0016797B">
        <w:rPr>
          <w:rFonts w:ascii="Arial" w:hAnsi="Arial" w:cs="Arial"/>
          <w:sz w:val="20"/>
          <w:szCs w:val="20"/>
          <w:lang w:val="en-GB"/>
        </w:rPr>
        <w:t xml:space="preserve">The investment capacity of the region, in addition, will be boosted by </w:t>
      </w:r>
      <w:r w:rsidRPr="0016797B">
        <w:rPr>
          <w:rFonts w:ascii="Arial" w:hAnsi="Arial" w:cs="Arial"/>
          <w:b/>
          <w:bCs/>
          <w:sz w:val="20"/>
          <w:szCs w:val="20"/>
          <w:lang w:val="en-GB"/>
        </w:rPr>
        <w:t>a new Western Balkans Guarantee facility</w:t>
      </w:r>
      <w:r w:rsidRPr="0016797B">
        <w:rPr>
          <w:rFonts w:ascii="Arial" w:hAnsi="Arial" w:cs="Arial"/>
          <w:sz w:val="20"/>
          <w:szCs w:val="20"/>
          <w:lang w:val="en-GB"/>
        </w:rPr>
        <w:t xml:space="preserve">, aiming to raise up to €20bn in investments. </w:t>
      </w:r>
    </w:p>
    <w:p w14:paraId="47F22657" w14:textId="77777777" w:rsidR="00103A4B" w:rsidRPr="00595BC5" w:rsidRDefault="00103A4B" w:rsidP="00103A4B">
      <w:pPr>
        <w:pStyle w:val="Default"/>
        <w:spacing w:after="120"/>
        <w:jc w:val="both"/>
        <w:rPr>
          <w:rFonts w:ascii="Arial" w:hAnsi="Arial" w:cs="Arial"/>
          <w:color w:val="auto"/>
          <w:sz w:val="20"/>
          <w:szCs w:val="20"/>
        </w:rPr>
      </w:pPr>
    </w:p>
    <w:bookmarkEnd w:id="2"/>
    <w:p w14:paraId="2FB5ABAD" w14:textId="77777777" w:rsidR="00103A4B" w:rsidRPr="0030177E" w:rsidRDefault="00103A4B" w:rsidP="00103A4B">
      <w:pPr>
        <w:pStyle w:val="BodyA"/>
        <w:spacing w:before="120"/>
        <w:jc w:val="left"/>
        <w:rPr>
          <w:lang w:val="en-GB"/>
        </w:rPr>
      </w:pPr>
      <w:r w:rsidRPr="0030177E">
        <w:rPr>
          <w:b/>
          <w:bCs/>
          <w:sz w:val="22"/>
          <w:szCs w:val="22"/>
          <w:lang w:val="en-GB"/>
        </w:rPr>
        <w:t xml:space="preserve">1.2 </w:t>
      </w:r>
      <w:r w:rsidRPr="0030177E">
        <w:rPr>
          <w:b/>
          <w:bCs/>
          <w:sz w:val="22"/>
          <w:szCs w:val="22"/>
          <w:lang w:val="en-GB"/>
        </w:rPr>
        <w:tab/>
        <w:t>Purpose</w:t>
      </w:r>
    </w:p>
    <w:p w14:paraId="6787DE0B" w14:textId="77777777" w:rsidR="00103A4B" w:rsidRDefault="00103A4B" w:rsidP="00103A4B">
      <w:pPr>
        <w:pStyle w:val="BodyA"/>
        <w:rPr>
          <w:rFonts w:cs="Arial"/>
        </w:rPr>
      </w:pPr>
      <w:bookmarkStart w:id="3" w:name="_Hlk59116823"/>
      <w:r w:rsidRPr="009D5D65">
        <w:rPr>
          <w:rFonts w:cs="Arial"/>
          <w:lang w:val="en-GB"/>
        </w:rPr>
        <w:t>The purpose of this expert assign</w:t>
      </w:r>
      <w:r>
        <w:rPr>
          <w:rFonts w:cs="Arial"/>
          <w:lang w:val="en-GB"/>
        </w:rPr>
        <w:t>m</w:t>
      </w:r>
      <w:r w:rsidRPr="009D5D65">
        <w:rPr>
          <w:rFonts w:cs="Arial"/>
          <w:lang w:val="en-GB"/>
        </w:rPr>
        <w:t xml:space="preserve">ent is to assist MEI/ Department for Planning, programming/NIPAC TS </w:t>
      </w:r>
      <w:r>
        <w:rPr>
          <w:rFonts w:cs="Arial"/>
          <w:lang w:val="en-GB"/>
        </w:rPr>
        <w:t xml:space="preserve">and Ministry of Finance </w:t>
      </w:r>
      <w:r w:rsidRPr="009D5D65">
        <w:rPr>
          <w:rFonts w:cs="Arial"/>
          <w:lang w:val="en-GB"/>
        </w:rPr>
        <w:t>in planning and programming</w:t>
      </w:r>
      <w:r>
        <w:rPr>
          <w:rFonts w:cs="Arial"/>
          <w:lang w:val="en-GB"/>
        </w:rPr>
        <w:t xml:space="preserve"> of IPA III. </w:t>
      </w:r>
      <w:r w:rsidRPr="001D42F1">
        <w:rPr>
          <w:rFonts w:cs="Arial"/>
        </w:rPr>
        <w:t xml:space="preserve">The expert is expected to provide support </w:t>
      </w:r>
      <w:r>
        <w:rPr>
          <w:rFonts w:cs="Arial"/>
        </w:rPr>
        <w:t xml:space="preserve">to </w:t>
      </w:r>
      <w:r w:rsidRPr="001D42F1">
        <w:rPr>
          <w:rFonts w:cs="Arial"/>
        </w:rPr>
        <w:t>the above-mentioned beneficiary institution</w:t>
      </w:r>
      <w:r>
        <w:rPr>
          <w:rFonts w:cs="Arial"/>
        </w:rPr>
        <w:t xml:space="preserve">s </w:t>
      </w:r>
      <w:r w:rsidRPr="0016797B">
        <w:rPr>
          <w:rFonts w:cs="Arial"/>
        </w:rPr>
        <w:t>through policy advice and</w:t>
      </w:r>
      <w:r w:rsidRPr="001D42F1">
        <w:rPr>
          <w:rFonts w:cs="Arial"/>
        </w:rPr>
        <w:t xml:space="preserve"> drafting </w:t>
      </w:r>
      <w:r>
        <w:rPr>
          <w:rFonts w:cs="Arial"/>
        </w:rPr>
        <w:t xml:space="preserve">project proposal for the implementation </w:t>
      </w:r>
      <w:r w:rsidRPr="0001059E">
        <w:rPr>
          <w:rFonts w:cs="Arial"/>
        </w:rPr>
        <w:t>of the Capital Market Development Strategy for the period 2021-2026</w:t>
      </w:r>
      <w:r w:rsidRPr="001D42F1">
        <w:rPr>
          <w:rFonts w:cs="Arial"/>
        </w:rPr>
        <w:t xml:space="preserve">. </w:t>
      </w:r>
    </w:p>
    <w:p w14:paraId="625E2FCC" w14:textId="77777777" w:rsidR="00103A4B" w:rsidRPr="0090473B" w:rsidRDefault="00103A4B" w:rsidP="00103A4B">
      <w:pPr>
        <w:pStyle w:val="BodyA"/>
        <w:rPr>
          <w:rFonts w:cs="Arial"/>
        </w:rPr>
      </w:pPr>
    </w:p>
    <w:bookmarkEnd w:id="3"/>
    <w:p w14:paraId="525CA337" w14:textId="77777777" w:rsidR="00103A4B" w:rsidRPr="0030177E" w:rsidRDefault="00103A4B" w:rsidP="00103A4B">
      <w:pPr>
        <w:pStyle w:val="BodyA"/>
        <w:spacing w:before="120"/>
        <w:rPr>
          <w:lang w:val="en-GB"/>
        </w:rPr>
      </w:pPr>
      <w:r w:rsidRPr="0030177E">
        <w:rPr>
          <w:b/>
          <w:bCs/>
          <w:sz w:val="22"/>
          <w:szCs w:val="22"/>
          <w:lang w:val="en-GB"/>
        </w:rPr>
        <w:t xml:space="preserve">1.3 </w:t>
      </w:r>
      <w:r w:rsidRPr="0030177E">
        <w:rPr>
          <w:b/>
          <w:bCs/>
          <w:sz w:val="22"/>
          <w:szCs w:val="22"/>
          <w:lang w:val="en-GB"/>
        </w:rPr>
        <w:tab/>
      </w:r>
      <w:r>
        <w:rPr>
          <w:b/>
          <w:bCs/>
          <w:sz w:val="22"/>
          <w:szCs w:val="22"/>
          <w:lang w:val="en-GB"/>
        </w:rPr>
        <w:t>Outputs</w:t>
      </w:r>
      <w:r w:rsidRPr="0030177E">
        <w:rPr>
          <w:b/>
          <w:bCs/>
          <w:sz w:val="22"/>
          <w:szCs w:val="22"/>
          <w:lang w:val="en-GB"/>
        </w:rPr>
        <w:t xml:space="preserve"> to be achieved by the Consultant</w:t>
      </w:r>
    </w:p>
    <w:p w14:paraId="46EE435B" w14:textId="77777777" w:rsidR="00103A4B" w:rsidRPr="0063089A" w:rsidRDefault="00103A4B" w:rsidP="00103A4B">
      <w:pPr>
        <w:numPr>
          <w:ilvl w:val="0"/>
          <w:numId w:val="34"/>
        </w:numPr>
        <w:spacing w:after="0" w:line="240" w:lineRule="auto"/>
        <w:jc w:val="both"/>
        <w:rPr>
          <w:rFonts w:ascii="Arial" w:eastAsia="Times New Roman" w:hAnsi="Arial" w:cs="Arial"/>
          <w:sz w:val="20"/>
          <w:szCs w:val="20"/>
          <w:highlight w:val="yellow"/>
          <w:shd w:val="clear" w:color="auto" w:fill="FFFFFF"/>
        </w:rPr>
      </w:pPr>
      <w:r>
        <w:rPr>
          <w:rFonts w:ascii="Arial" w:eastAsia="Times New Roman" w:hAnsi="Arial" w:cs="Arial"/>
          <w:sz w:val="20"/>
          <w:szCs w:val="20"/>
          <w:shd w:val="clear" w:color="auto" w:fill="FFFFFF"/>
        </w:rPr>
        <w:t xml:space="preserve">Support preparation of the full project proposal for the implementation of the </w:t>
      </w:r>
      <w:r w:rsidRPr="008A765F">
        <w:rPr>
          <w:rFonts w:ascii="Arial" w:eastAsia="Times New Roman" w:hAnsi="Arial" w:cs="Arial"/>
          <w:sz w:val="20"/>
          <w:szCs w:val="20"/>
          <w:shd w:val="clear" w:color="auto" w:fill="FFFFFF"/>
        </w:rPr>
        <w:t>Capital Market Development Strategy for the period 2021-202</w:t>
      </w:r>
      <w:r>
        <w:rPr>
          <w:rFonts w:ascii="Arial" w:eastAsia="Times New Roman" w:hAnsi="Arial" w:cs="Arial"/>
          <w:sz w:val="20"/>
          <w:szCs w:val="20"/>
          <w:shd w:val="clear" w:color="auto" w:fill="FFFFFF"/>
        </w:rPr>
        <w:t>6 and the following Action Plan(s) and that regarding the concrete implementation of certain activities within the scope of measures 1.1 (“</w:t>
      </w:r>
      <w:r w:rsidRPr="0001581B">
        <w:rPr>
          <w:rFonts w:ascii="Arial" w:eastAsia="Times New Roman" w:hAnsi="Arial" w:cs="Arial"/>
          <w:sz w:val="20"/>
          <w:szCs w:val="20"/>
          <w:shd w:val="clear" w:color="auto" w:fill="FFFFFF"/>
        </w:rPr>
        <w:t>Improving the regulatory framework for further development of the capital market</w:t>
      </w:r>
      <w:r>
        <w:rPr>
          <w:rFonts w:ascii="Arial" w:eastAsia="Times New Roman" w:hAnsi="Arial" w:cs="Arial"/>
          <w:sz w:val="20"/>
          <w:szCs w:val="20"/>
          <w:shd w:val="clear" w:color="auto" w:fill="FFFFFF"/>
        </w:rPr>
        <w:t>”), 2.1 (“</w:t>
      </w:r>
      <w:r w:rsidRPr="0001581B">
        <w:rPr>
          <w:rFonts w:ascii="Arial" w:eastAsia="Times New Roman" w:hAnsi="Arial" w:cs="Arial"/>
          <w:sz w:val="20"/>
          <w:szCs w:val="20"/>
          <w:shd w:val="clear" w:color="auto" w:fill="FFFFFF"/>
        </w:rPr>
        <w:t>Introduction of new investment products and issuers on the domestic capital market</w:t>
      </w:r>
      <w:r>
        <w:rPr>
          <w:rFonts w:ascii="Arial" w:eastAsia="Times New Roman" w:hAnsi="Arial" w:cs="Arial"/>
          <w:sz w:val="20"/>
          <w:szCs w:val="20"/>
          <w:shd w:val="clear" w:color="auto" w:fill="FFFFFF"/>
        </w:rPr>
        <w:t>”) and 3.2 (“</w:t>
      </w:r>
      <w:r w:rsidRPr="0001581B">
        <w:rPr>
          <w:rFonts w:ascii="Arial" w:eastAsia="Times New Roman" w:hAnsi="Arial" w:cs="Arial"/>
          <w:sz w:val="20"/>
          <w:szCs w:val="20"/>
          <w:shd w:val="clear" w:color="auto" w:fill="FFFFFF"/>
        </w:rPr>
        <w:t>Promotion of opportunities for participation in the capital market and education of all potential market participants</w:t>
      </w:r>
      <w:r>
        <w:rPr>
          <w:rFonts w:ascii="Arial" w:eastAsia="Times New Roman" w:hAnsi="Arial" w:cs="Arial"/>
          <w:sz w:val="20"/>
          <w:szCs w:val="20"/>
          <w:shd w:val="clear" w:color="auto" w:fill="FFFFFF"/>
        </w:rPr>
        <w:t>”)</w:t>
      </w:r>
      <w:r w:rsidRPr="0001581B">
        <w:rPr>
          <w:rFonts w:ascii="Arial" w:eastAsia="Times New Roman" w:hAnsi="Arial" w:cs="Arial"/>
          <w:sz w:val="20"/>
          <w:szCs w:val="20"/>
          <w:shd w:val="clear" w:color="auto" w:fill="FFFFFF"/>
        </w:rPr>
        <w:t xml:space="preserve"> </w:t>
      </w:r>
      <w:r>
        <w:rPr>
          <w:rFonts w:ascii="Arial" w:eastAsia="Times New Roman" w:hAnsi="Arial" w:cs="Arial"/>
          <w:sz w:val="20"/>
          <w:szCs w:val="20"/>
          <w:shd w:val="clear" w:color="auto" w:fill="FFFFFF"/>
        </w:rPr>
        <w:t>of said Strategy, in line with the Overview of tasks attached in Annex 1 of this ToR.</w:t>
      </w:r>
    </w:p>
    <w:p w14:paraId="3D9AD3C0" w14:textId="77777777" w:rsidR="00103A4B" w:rsidRPr="0001581B" w:rsidRDefault="00103A4B" w:rsidP="00103A4B">
      <w:pPr>
        <w:widowControl w:val="0"/>
        <w:numPr>
          <w:ilvl w:val="0"/>
          <w:numId w:val="34"/>
        </w:numPr>
        <w:spacing w:after="0" w:line="280" w:lineRule="atLeast"/>
        <w:jc w:val="both"/>
        <w:rPr>
          <w:rFonts w:ascii="Arial" w:hAnsi="Arial" w:cs="Arial"/>
          <w:sz w:val="20"/>
          <w:szCs w:val="20"/>
        </w:rPr>
      </w:pPr>
      <w:r>
        <w:rPr>
          <w:rFonts w:ascii="Arial" w:eastAsia="Times New Roman" w:hAnsi="Arial" w:cs="Arial"/>
          <w:sz w:val="20"/>
          <w:szCs w:val="20"/>
        </w:rPr>
        <w:t xml:space="preserve">Prepare an overview of </w:t>
      </w:r>
      <w:r w:rsidRPr="00A7786A">
        <w:rPr>
          <w:rFonts w:ascii="Arial" w:eastAsia="Times New Roman" w:hAnsi="Arial" w:cs="Arial"/>
          <w:sz w:val="20"/>
          <w:szCs w:val="20"/>
        </w:rPr>
        <w:t>highly respect</w:t>
      </w:r>
      <w:r>
        <w:rPr>
          <w:rFonts w:ascii="Arial" w:eastAsia="Times New Roman" w:hAnsi="Arial" w:cs="Arial"/>
          <w:sz w:val="20"/>
          <w:szCs w:val="20"/>
        </w:rPr>
        <w:t>ed</w:t>
      </w:r>
      <w:r w:rsidRPr="00A7786A">
        <w:rPr>
          <w:rFonts w:ascii="Arial" w:eastAsia="Times New Roman" w:hAnsi="Arial" w:cs="Arial"/>
          <w:sz w:val="20"/>
          <w:szCs w:val="20"/>
        </w:rPr>
        <w:t xml:space="preserve"> credit rating agencies</w:t>
      </w:r>
      <w:r>
        <w:rPr>
          <w:rFonts w:ascii="Arial" w:eastAsia="Times New Roman" w:hAnsi="Arial" w:cs="Arial"/>
          <w:sz w:val="20"/>
          <w:szCs w:val="20"/>
        </w:rPr>
        <w:t xml:space="preserve"> and-or other relevant (capital and financial) market participants, both local and international,</w:t>
      </w:r>
      <w:r w:rsidRPr="00A7786A">
        <w:rPr>
          <w:rFonts w:ascii="Arial" w:eastAsia="Times New Roman" w:hAnsi="Arial" w:cs="Arial"/>
          <w:sz w:val="20"/>
          <w:szCs w:val="20"/>
        </w:rPr>
        <w:t xml:space="preserve"> </w:t>
      </w:r>
      <w:r>
        <w:rPr>
          <w:rFonts w:ascii="Arial" w:eastAsia="Times New Roman" w:hAnsi="Arial" w:cs="Arial"/>
          <w:sz w:val="20"/>
          <w:szCs w:val="20"/>
        </w:rPr>
        <w:t>that could be potentially included in the project implementation and provide appropriate broad-list suggestions based on their respective business and investment reputation, previous experience with the Serbian- and/or other neighboring markets and assumed interest.</w:t>
      </w:r>
    </w:p>
    <w:p w14:paraId="3CE2E6AE" w14:textId="77777777" w:rsidR="00103A4B" w:rsidRPr="0030177E" w:rsidRDefault="00103A4B" w:rsidP="00103A4B">
      <w:pPr>
        <w:pStyle w:val="ListParagraph"/>
        <w:widowControl w:val="0"/>
        <w:numPr>
          <w:ilvl w:val="0"/>
          <w:numId w:val="34"/>
        </w:numPr>
        <w:pBdr>
          <w:top w:val="nil"/>
          <w:left w:val="nil"/>
          <w:bottom w:val="nil"/>
          <w:right w:val="nil"/>
          <w:between w:val="nil"/>
          <w:bar w:val="nil"/>
        </w:pBdr>
        <w:spacing w:after="0" w:line="280" w:lineRule="atLeast"/>
        <w:contextualSpacing w:val="0"/>
        <w:jc w:val="both"/>
        <w:rPr>
          <w:rFonts w:ascii="Arial" w:hAnsi="Arial"/>
          <w:sz w:val="20"/>
          <w:szCs w:val="20"/>
          <w:lang w:val="en-GB"/>
        </w:rPr>
      </w:pPr>
      <w:r>
        <w:rPr>
          <w:rFonts w:ascii="Arial" w:hAnsi="Arial"/>
          <w:sz w:val="20"/>
          <w:szCs w:val="20"/>
          <w:lang w:val="en-GB"/>
        </w:rPr>
        <w:t>Outputs</w:t>
      </w:r>
      <w:r w:rsidRPr="0030177E">
        <w:rPr>
          <w:rFonts w:ascii="Arial" w:hAnsi="Arial"/>
          <w:sz w:val="20"/>
          <w:szCs w:val="20"/>
          <w:lang w:val="en-GB"/>
        </w:rPr>
        <w:t xml:space="preserve"> of Ad-Hoc requests as agreed with Team Leader in writing</w:t>
      </w:r>
      <w:r>
        <w:rPr>
          <w:rFonts w:ascii="Arial" w:hAnsi="Arial"/>
          <w:sz w:val="20"/>
          <w:szCs w:val="20"/>
          <w:lang w:val="en-GB"/>
        </w:rPr>
        <w:t>.</w:t>
      </w:r>
      <w:r w:rsidRPr="0030177E">
        <w:rPr>
          <w:rFonts w:ascii="Arial" w:hAnsi="Arial"/>
          <w:sz w:val="20"/>
          <w:szCs w:val="20"/>
          <w:lang w:val="en-GB"/>
        </w:rPr>
        <w:t xml:space="preserve">                </w:t>
      </w:r>
    </w:p>
    <w:p w14:paraId="67B86EC2" w14:textId="77777777" w:rsidR="00103A4B" w:rsidRPr="0030177E" w:rsidRDefault="00103A4B" w:rsidP="00103A4B">
      <w:pPr>
        <w:pStyle w:val="BodyA"/>
        <w:spacing w:after="0"/>
        <w:ind w:left="360"/>
        <w:rPr>
          <w:lang w:val="en-GB"/>
        </w:rPr>
      </w:pPr>
    </w:p>
    <w:p w14:paraId="297E089B" w14:textId="77777777" w:rsidR="00103A4B" w:rsidRPr="009E184F" w:rsidRDefault="00103A4B" w:rsidP="00103A4B">
      <w:pPr>
        <w:pStyle w:val="Heading1"/>
        <w:numPr>
          <w:ilvl w:val="0"/>
          <w:numId w:val="35"/>
        </w:numPr>
        <w:ind w:left="0" w:firstLine="0"/>
        <w:rPr>
          <w:rFonts w:ascii="Arial" w:hAnsi="Arial" w:cs="Arial"/>
          <w:b/>
          <w:bCs/>
          <w:lang w:val="en-GB"/>
        </w:rPr>
      </w:pPr>
      <w:r w:rsidRPr="009E184F">
        <w:rPr>
          <w:rFonts w:ascii="Arial" w:hAnsi="Arial" w:cs="Arial"/>
          <w:b/>
          <w:bCs/>
          <w:lang w:val="en-GB"/>
        </w:rPr>
        <w:t>SCOPE OF THE WORK</w:t>
      </w:r>
    </w:p>
    <w:p w14:paraId="631CED03" w14:textId="77777777" w:rsidR="00103A4B" w:rsidRPr="0030177E" w:rsidRDefault="00103A4B" w:rsidP="00103A4B">
      <w:pPr>
        <w:pStyle w:val="BodyA"/>
        <w:spacing w:before="120"/>
        <w:jc w:val="left"/>
        <w:rPr>
          <w:lang w:val="en-GB"/>
        </w:rPr>
      </w:pPr>
      <w:r w:rsidRPr="0030177E">
        <w:rPr>
          <w:b/>
          <w:bCs/>
          <w:sz w:val="22"/>
          <w:szCs w:val="22"/>
          <w:lang w:val="en-GB"/>
        </w:rPr>
        <w:t xml:space="preserve">2.1 </w:t>
      </w:r>
      <w:r w:rsidRPr="0030177E">
        <w:rPr>
          <w:b/>
          <w:bCs/>
          <w:sz w:val="22"/>
          <w:szCs w:val="22"/>
          <w:lang w:val="en-GB"/>
        </w:rPr>
        <w:tab/>
        <w:t>General</w:t>
      </w:r>
    </w:p>
    <w:p w14:paraId="67BD6999" w14:textId="77777777" w:rsidR="00103A4B" w:rsidRPr="009C64D5" w:rsidRDefault="00103A4B" w:rsidP="00103A4B">
      <w:pPr>
        <w:pStyle w:val="BodyA"/>
        <w:rPr>
          <w:rFonts w:cs="Arial"/>
        </w:rPr>
      </w:pPr>
      <w:bookmarkStart w:id="4" w:name="_Hlk54357711"/>
      <w:r w:rsidRPr="00F54813">
        <w:rPr>
          <w:rFonts w:cs="Arial"/>
        </w:rPr>
        <w:t xml:space="preserve">The expert, under the guidance of the project Team Leader and in collaboration with the expert team and Ministry of European Integration </w:t>
      </w:r>
      <w:r>
        <w:rPr>
          <w:rFonts w:cs="Arial"/>
        </w:rPr>
        <w:t xml:space="preserve">and Ministry of Finance </w:t>
      </w:r>
      <w:r w:rsidRPr="00F54813">
        <w:rPr>
          <w:rFonts w:cs="Arial"/>
        </w:rPr>
        <w:t xml:space="preserve">of Serbia, will </w:t>
      </w:r>
      <w:r>
        <w:rPr>
          <w:rFonts w:cs="Arial"/>
        </w:rPr>
        <w:t>support</w:t>
      </w:r>
      <w:r w:rsidRPr="00F54813">
        <w:rPr>
          <w:rFonts w:cs="Arial"/>
        </w:rPr>
        <w:t xml:space="preserve"> </w:t>
      </w:r>
      <w:r>
        <w:rPr>
          <w:rFonts w:cs="Arial"/>
        </w:rPr>
        <w:t xml:space="preserve">preparation of the project proposal for the </w:t>
      </w:r>
      <w:r w:rsidRPr="009C64D5">
        <w:rPr>
          <w:rFonts w:cs="Arial"/>
        </w:rPr>
        <w:t>implementation of the Capital Market Development Strategy for the period 2021-2026</w:t>
      </w:r>
      <w:r>
        <w:rPr>
          <w:rFonts w:cs="Arial"/>
        </w:rPr>
        <w:t xml:space="preserve">, as described in the point 1.3 above. </w:t>
      </w:r>
      <w:r w:rsidRPr="00F54813">
        <w:rPr>
          <w:rFonts w:cs="Arial"/>
        </w:rPr>
        <w:t>The expert will perform his/her assignment applying a “learning by doing “approach.</w:t>
      </w:r>
    </w:p>
    <w:bookmarkEnd w:id="4"/>
    <w:p w14:paraId="688906CB" w14:textId="77777777" w:rsidR="00103A4B" w:rsidRDefault="00103A4B" w:rsidP="00103A4B">
      <w:pPr>
        <w:pStyle w:val="BodyA"/>
        <w:spacing w:before="120"/>
        <w:rPr>
          <w:b/>
          <w:bCs/>
          <w:sz w:val="22"/>
          <w:szCs w:val="22"/>
          <w:lang w:val="en-GB"/>
        </w:rPr>
      </w:pPr>
    </w:p>
    <w:p w14:paraId="6BD68F62" w14:textId="77777777" w:rsidR="00103A4B" w:rsidRPr="003151A4" w:rsidRDefault="00103A4B" w:rsidP="00103A4B">
      <w:pPr>
        <w:pStyle w:val="BodyA"/>
        <w:spacing w:before="120"/>
        <w:rPr>
          <w:lang w:val="en-GB"/>
        </w:rPr>
      </w:pPr>
      <w:r w:rsidRPr="003151A4">
        <w:rPr>
          <w:b/>
          <w:bCs/>
          <w:sz w:val="22"/>
          <w:szCs w:val="22"/>
          <w:lang w:val="en-GB"/>
        </w:rPr>
        <w:t xml:space="preserve">2.2 </w:t>
      </w:r>
      <w:r w:rsidRPr="003151A4">
        <w:rPr>
          <w:b/>
          <w:bCs/>
          <w:sz w:val="22"/>
          <w:szCs w:val="22"/>
          <w:lang w:val="en-GB"/>
        </w:rPr>
        <w:tab/>
        <w:t>Specific Activities</w:t>
      </w:r>
    </w:p>
    <w:p w14:paraId="21478330" w14:textId="77777777" w:rsidR="00103A4B" w:rsidRPr="003151A4" w:rsidRDefault="00103A4B" w:rsidP="00103A4B">
      <w:pPr>
        <w:pStyle w:val="BodyA"/>
        <w:spacing w:before="120"/>
        <w:rPr>
          <w:lang w:val="en-GB"/>
        </w:rPr>
      </w:pPr>
      <w:r w:rsidRPr="003151A4">
        <w:rPr>
          <w:b/>
          <w:bCs/>
          <w:sz w:val="22"/>
          <w:szCs w:val="22"/>
          <w:lang w:val="en-GB"/>
        </w:rPr>
        <w:t>The expert will perform the following activities:</w:t>
      </w:r>
    </w:p>
    <w:p w14:paraId="4F808128" w14:textId="77777777" w:rsidR="00103A4B" w:rsidRDefault="00103A4B" w:rsidP="00103A4B">
      <w:pPr>
        <w:pStyle w:val="BodyA"/>
        <w:spacing w:after="0"/>
        <w:rPr>
          <w:rFonts w:cs="Arial"/>
          <w:lang w:val="en-GB"/>
        </w:rPr>
      </w:pPr>
      <w:r w:rsidRPr="00D56A6E">
        <w:rPr>
          <w:rFonts w:cs="Arial"/>
          <w:lang w:val="en-GB"/>
        </w:rPr>
        <w:t>Desk review of relevant sector strategy and other relevant documents</w:t>
      </w:r>
      <w:r>
        <w:rPr>
          <w:rFonts w:cs="Arial"/>
          <w:lang w:val="en-GB"/>
        </w:rPr>
        <w:t>.</w:t>
      </w:r>
    </w:p>
    <w:p w14:paraId="0FE7C8A1" w14:textId="77777777" w:rsidR="00103A4B" w:rsidRDefault="00103A4B" w:rsidP="00103A4B">
      <w:pPr>
        <w:pStyle w:val="BodyA"/>
        <w:spacing w:after="0"/>
        <w:rPr>
          <w:rFonts w:cs="Arial"/>
          <w:lang w:val="en-GB"/>
        </w:rPr>
      </w:pPr>
      <w:r>
        <w:rPr>
          <w:rFonts w:cs="Arial"/>
          <w:lang w:val="en-GB"/>
        </w:rPr>
        <w:t>Consultations with relevant stakeholders.</w:t>
      </w:r>
    </w:p>
    <w:p w14:paraId="4A088DF2" w14:textId="77777777" w:rsidR="00103A4B" w:rsidRPr="005A480F" w:rsidRDefault="00103A4B" w:rsidP="00103A4B">
      <w:pPr>
        <w:widowControl w:val="0"/>
        <w:spacing w:line="280" w:lineRule="atLeast"/>
        <w:jc w:val="both"/>
        <w:rPr>
          <w:rFonts w:ascii="Arial" w:eastAsia="Times New Roman" w:hAnsi="Arial" w:cs="Arial"/>
          <w:sz w:val="20"/>
          <w:szCs w:val="20"/>
        </w:rPr>
      </w:pPr>
      <w:r w:rsidRPr="00A7786A">
        <w:rPr>
          <w:rFonts w:cs="Arial"/>
          <w:lang w:val="en-GB"/>
        </w:rPr>
        <w:t xml:space="preserve">Prepare an overview of highly respected credit rating agencies </w:t>
      </w:r>
      <w:r>
        <w:rPr>
          <w:rFonts w:ascii="Arial" w:eastAsia="Times New Roman" w:hAnsi="Arial" w:cs="Arial"/>
          <w:sz w:val="20"/>
          <w:szCs w:val="20"/>
        </w:rPr>
        <w:t>and-or other relevant (capital and financial) market participants, both local and international,</w:t>
      </w:r>
      <w:r w:rsidRPr="00A7786A">
        <w:rPr>
          <w:rFonts w:ascii="Arial" w:eastAsia="Times New Roman" w:hAnsi="Arial" w:cs="Arial"/>
          <w:sz w:val="20"/>
          <w:szCs w:val="20"/>
        </w:rPr>
        <w:t xml:space="preserve"> </w:t>
      </w:r>
      <w:r>
        <w:rPr>
          <w:rFonts w:ascii="Arial" w:eastAsia="Times New Roman" w:hAnsi="Arial" w:cs="Arial"/>
          <w:sz w:val="20"/>
          <w:szCs w:val="20"/>
        </w:rPr>
        <w:t>that could be potentially included in the project implementation and provide appropriate broad-list suggestions based on their respective business and investment reputation, previous experience with the Serbian- and/or other neighboring markets and assumed interest.</w:t>
      </w:r>
    </w:p>
    <w:p w14:paraId="453A655D" w14:textId="77777777" w:rsidR="00103A4B" w:rsidRDefault="00103A4B" w:rsidP="00103A4B">
      <w:pPr>
        <w:pStyle w:val="BodyA"/>
        <w:spacing w:after="0"/>
        <w:rPr>
          <w:rFonts w:cs="Arial"/>
          <w:lang w:val="en-GB"/>
        </w:rPr>
      </w:pPr>
      <w:r>
        <w:rPr>
          <w:rFonts w:cs="Arial"/>
          <w:lang w:val="en-GB"/>
        </w:rPr>
        <w:t xml:space="preserve">Identification of main assumptions and risks relevant for the project implementation. </w:t>
      </w:r>
    </w:p>
    <w:p w14:paraId="6C4F8290" w14:textId="77777777" w:rsidR="00103A4B" w:rsidRDefault="00103A4B" w:rsidP="00103A4B">
      <w:pPr>
        <w:pStyle w:val="BodyA"/>
        <w:spacing w:after="0"/>
        <w:rPr>
          <w:rFonts w:cs="Arial"/>
          <w:lang w:val="en-GB"/>
        </w:rPr>
      </w:pPr>
      <w:r>
        <w:rPr>
          <w:rFonts w:cs="Arial"/>
          <w:lang w:val="en-GB"/>
        </w:rPr>
        <w:t xml:space="preserve">Identification of missing policy, legal and operational decisions. </w:t>
      </w:r>
    </w:p>
    <w:p w14:paraId="4150D017" w14:textId="77777777" w:rsidR="00103A4B" w:rsidRPr="00D56A6E" w:rsidRDefault="00103A4B" w:rsidP="00103A4B">
      <w:pPr>
        <w:pStyle w:val="BodyA"/>
        <w:spacing w:after="0"/>
        <w:rPr>
          <w:rFonts w:cs="Arial"/>
          <w:color w:val="auto"/>
          <w:lang w:val="en-GB"/>
        </w:rPr>
      </w:pPr>
      <w:r w:rsidRPr="00D56A6E">
        <w:rPr>
          <w:rFonts w:cs="Arial"/>
          <w:lang w:val="en-GB"/>
        </w:rPr>
        <w:t>Activities of ad-hoc requests as agreed with the TL in writing</w:t>
      </w:r>
      <w:r>
        <w:rPr>
          <w:rFonts w:cs="Arial"/>
          <w:lang w:val="en-GB"/>
        </w:rPr>
        <w:t>.</w:t>
      </w:r>
    </w:p>
    <w:p w14:paraId="544BCCE9" w14:textId="77777777" w:rsidR="00103A4B" w:rsidRPr="0030177E" w:rsidRDefault="00103A4B" w:rsidP="00103A4B">
      <w:pPr>
        <w:pStyle w:val="BodyA"/>
        <w:spacing w:after="0"/>
        <w:rPr>
          <w:lang w:val="en-GB"/>
        </w:rPr>
      </w:pPr>
    </w:p>
    <w:p w14:paraId="7B00D637" w14:textId="77777777" w:rsidR="00103A4B" w:rsidRPr="0030177E" w:rsidRDefault="00103A4B" w:rsidP="00103A4B">
      <w:pPr>
        <w:pStyle w:val="BodyA"/>
        <w:spacing w:before="120"/>
        <w:rPr>
          <w:lang w:val="en-GB"/>
        </w:rPr>
      </w:pPr>
      <w:r w:rsidRPr="0030177E">
        <w:rPr>
          <w:b/>
          <w:bCs/>
          <w:sz w:val="22"/>
          <w:szCs w:val="22"/>
          <w:lang w:val="en-GB"/>
        </w:rPr>
        <w:lastRenderedPageBreak/>
        <w:t xml:space="preserve">2.3 </w:t>
      </w:r>
      <w:r w:rsidRPr="0030177E">
        <w:rPr>
          <w:b/>
          <w:bCs/>
          <w:sz w:val="22"/>
          <w:szCs w:val="22"/>
          <w:lang w:val="en-GB"/>
        </w:rPr>
        <w:tab/>
        <w:t>Target group</w:t>
      </w:r>
    </w:p>
    <w:p w14:paraId="6A26F86F" w14:textId="77777777" w:rsidR="00103A4B" w:rsidRPr="00595BC5" w:rsidRDefault="00103A4B" w:rsidP="00103A4B">
      <w:pPr>
        <w:pStyle w:val="BodyA"/>
        <w:rPr>
          <w:rFonts w:cs="Arial"/>
          <w:color w:val="auto"/>
        </w:rPr>
      </w:pPr>
      <w:r w:rsidRPr="009C508E">
        <w:rPr>
          <w:rFonts w:cs="Arial"/>
          <w:lang w:val="en-GB"/>
        </w:rPr>
        <w:t xml:space="preserve">The beneficiaries of the project are the Ministry of European Integration </w:t>
      </w:r>
      <w:r>
        <w:rPr>
          <w:rFonts w:cs="Arial"/>
          <w:lang w:val="en-GB"/>
        </w:rPr>
        <w:t xml:space="preserve">in </w:t>
      </w:r>
      <w:r w:rsidRPr="009C508E">
        <w:rPr>
          <w:rFonts w:cs="Arial"/>
          <w:lang w:val="en-GB"/>
        </w:rPr>
        <w:t xml:space="preserve">Serbia, Department for planning and programming/NIPAC TS </w:t>
      </w:r>
      <w:r>
        <w:rPr>
          <w:rFonts w:cs="Arial"/>
          <w:lang w:val="en-GB"/>
        </w:rPr>
        <w:t>as</w:t>
      </w:r>
      <w:r w:rsidRPr="009C508E">
        <w:rPr>
          <w:rFonts w:cs="Arial"/>
          <w:lang w:val="en-GB"/>
        </w:rPr>
        <w:t xml:space="preserve"> the key stakeholder in the implementation of project tasks </w:t>
      </w:r>
      <w:r>
        <w:rPr>
          <w:rFonts w:cs="Arial"/>
          <w:lang w:val="en-GB"/>
        </w:rPr>
        <w:t xml:space="preserve">and Ministry of Finance as the ministry responsible for the implementation of the </w:t>
      </w:r>
      <w:r w:rsidRPr="009C64D5">
        <w:rPr>
          <w:rFonts w:cs="Arial"/>
          <w:lang w:val="en-GB"/>
        </w:rPr>
        <w:t>Capital Market Development Strategy for the period 2021-2026</w:t>
      </w:r>
      <w:r w:rsidRPr="009C508E">
        <w:rPr>
          <w:rFonts w:cs="Arial"/>
          <w:lang w:val="en-GB"/>
        </w:rPr>
        <w:t xml:space="preserve">. </w:t>
      </w:r>
    </w:p>
    <w:p w14:paraId="7415AF49" w14:textId="77777777" w:rsidR="00103A4B" w:rsidRPr="0030177E" w:rsidRDefault="00103A4B" w:rsidP="00103A4B">
      <w:pPr>
        <w:pStyle w:val="Heading1"/>
        <w:ind w:left="426"/>
        <w:jc w:val="both"/>
        <w:rPr>
          <w:lang w:val="en-GB"/>
        </w:rPr>
      </w:pPr>
    </w:p>
    <w:p w14:paraId="7EF2721C" w14:textId="77777777" w:rsidR="00103A4B" w:rsidRPr="00223E7D" w:rsidRDefault="00103A4B" w:rsidP="00103A4B">
      <w:pPr>
        <w:pStyle w:val="Heading1"/>
        <w:numPr>
          <w:ilvl w:val="0"/>
          <w:numId w:val="36"/>
        </w:numPr>
        <w:ind w:left="720" w:hanging="360"/>
        <w:jc w:val="both"/>
        <w:rPr>
          <w:rFonts w:ascii="Arial" w:hAnsi="Arial" w:cs="Arial"/>
          <w:b/>
          <w:bCs/>
          <w:lang w:val="en-GB"/>
        </w:rPr>
      </w:pPr>
      <w:r w:rsidRPr="00223E7D">
        <w:rPr>
          <w:rFonts w:ascii="Arial" w:hAnsi="Arial" w:cs="Arial"/>
          <w:b/>
          <w:bCs/>
          <w:lang w:val="en-GB"/>
        </w:rPr>
        <w:t>LOGISTICS AND TIMING</w:t>
      </w:r>
    </w:p>
    <w:p w14:paraId="3610A045" w14:textId="77777777" w:rsidR="00103A4B" w:rsidRPr="0030177E" w:rsidRDefault="00103A4B" w:rsidP="00103A4B">
      <w:pPr>
        <w:pStyle w:val="BodyA"/>
        <w:spacing w:before="120" w:after="240"/>
        <w:rPr>
          <w:lang w:val="en-GB"/>
        </w:rPr>
      </w:pPr>
      <w:r w:rsidRPr="0030177E">
        <w:rPr>
          <w:b/>
          <w:bCs/>
          <w:sz w:val="22"/>
          <w:szCs w:val="22"/>
          <w:lang w:val="en-GB"/>
        </w:rPr>
        <w:t xml:space="preserve">3.1 </w:t>
      </w:r>
      <w:r w:rsidRPr="0030177E">
        <w:rPr>
          <w:b/>
          <w:bCs/>
          <w:sz w:val="22"/>
          <w:szCs w:val="22"/>
          <w:lang w:val="en-GB"/>
        </w:rPr>
        <w:tab/>
        <w:t>Location</w:t>
      </w:r>
    </w:p>
    <w:p w14:paraId="36E159E6" w14:textId="77777777" w:rsidR="00103A4B" w:rsidRPr="0030177E" w:rsidRDefault="00103A4B" w:rsidP="00103A4B">
      <w:pPr>
        <w:pStyle w:val="BodyA"/>
        <w:rPr>
          <w:lang w:val="en-GB"/>
        </w:rPr>
      </w:pPr>
      <w:r w:rsidRPr="0030177E">
        <w:rPr>
          <w:lang w:val="en-GB"/>
        </w:rPr>
        <w:t>The operational base for the project is Belgrade, however there may be a requirement to travel to selected municipalities throughout Serbia</w:t>
      </w:r>
      <w:r>
        <w:rPr>
          <w:lang w:val="en-GB"/>
        </w:rPr>
        <w:t>.</w:t>
      </w:r>
    </w:p>
    <w:p w14:paraId="7E42966E" w14:textId="77777777" w:rsidR="00103A4B" w:rsidRPr="0030177E" w:rsidRDefault="00103A4B" w:rsidP="00103A4B">
      <w:pPr>
        <w:pStyle w:val="BodyA"/>
        <w:spacing w:before="120" w:after="240"/>
        <w:rPr>
          <w:lang w:val="en-GB"/>
        </w:rPr>
      </w:pPr>
      <w:r w:rsidRPr="0030177E">
        <w:rPr>
          <w:b/>
          <w:bCs/>
          <w:sz w:val="22"/>
          <w:szCs w:val="22"/>
          <w:lang w:val="en-GB"/>
        </w:rPr>
        <w:t xml:space="preserve">3.2 </w:t>
      </w:r>
      <w:r w:rsidRPr="0030177E">
        <w:rPr>
          <w:b/>
          <w:bCs/>
          <w:sz w:val="22"/>
          <w:szCs w:val="22"/>
          <w:lang w:val="en-GB"/>
        </w:rPr>
        <w:tab/>
        <w:t>Commencement date &amp; period of execution</w:t>
      </w:r>
    </w:p>
    <w:p w14:paraId="5B91FDE9" w14:textId="1D5FCAAB" w:rsidR="00103A4B" w:rsidRPr="00F54813" w:rsidRDefault="00103A4B" w:rsidP="00103A4B">
      <w:pPr>
        <w:pStyle w:val="BodyA"/>
        <w:rPr>
          <w:rFonts w:cs="Arial"/>
          <w:color w:val="auto"/>
        </w:rPr>
      </w:pPr>
      <w:r w:rsidRPr="0030177E">
        <w:rPr>
          <w:lang w:val="en-GB"/>
        </w:rPr>
        <w:t xml:space="preserve">The consultant will perform the tasks </w:t>
      </w:r>
      <w:r>
        <w:rPr>
          <w:lang w:val="en-GB"/>
        </w:rPr>
        <w:t xml:space="preserve">in period between April </w:t>
      </w:r>
      <w:r w:rsidRPr="00612E40">
        <w:rPr>
          <w:lang w:val="en-GB"/>
        </w:rPr>
        <w:t>202</w:t>
      </w:r>
      <w:r>
        <w:rPr>
          <w:lang w:val="en-GB"/>
        </w:rPr>
        <w:t>1</w:t>
      </w:r>
      <w:r w:rsidRPr="00612E40">
        <w:rPr>
          <w:lang w:val="en-GB"/>
        </w:rPr>
        <w:t xml:space="preserve"> – June 2022.</w:t>
      </w:r>
      <w:r w:rsidRPr="0030177E">
        <w:rPr>
          <w:lang w:val="en-GB"/>
        </w:rPr>
        <w:t xml:space="preserve"> At this stage up to </w:t>
      </w:r>
      <w:r>
        <w:rPr>
          <w:lang w:val="en-GB"/>
        </w:rPr>
        <w:t>40</w:t>
      </w:r>
      <w:r w:rsidRPr="0030177E">
        <w:rPr>
          <w:lang w:val="en-GB"/>
        </w:rPr>
        <w:t xml:space="preserve"> Senior Non</w:t>
      </w:r>
      <w:r>
        <w:rPr>
          <w:lang w:val="en-GB"/>
        </w:rPr>
        <w:t>-K</w:t>
      </w:r>
      <w:r w:rsidRPr="0030177E">
        <w:rPr>
          <w:lang w:val="en-GB"/>
        </w:rPr>
        <w:t>ey Expert days are allocated to these set of activities.</w:t>
      </w:r>
      <w:r w:rsidRPr="00ED33FC">
        <w:rPr>
          <w:rFonts w:cs="Arial"/>
        </w:rPr>
        <w:t xml:space="preserve"> </w:t>
      </w:r>
      <w:r w:rsidRPr="00F54813">
        <w:rPr>
          <w:rFonts w:cs="Arial"/>
        </w:rPr>
        <w:t>Should they not be required in full for the tasks listed at this stage tasks can be added or indeed days can be re-allocated per administrative order. A current input plan is shown in table 1, below,</w:t>
      </w:r>
      <w:r>
        <w:rPr>
          <w:rFonts w:cs="Arial"/>
        </w:rPr>
        <w:t xml:space="preserve"> although this may be subject of</w:t>
      </w:r>
      <w:r w:rsidRPr="00F54813">
        <w:rPr>
          <w:rFonts w:cs="Arial"/>
        </w:rPr>
        <w:t xml:space="preserve"> variation depending on the develo</w:t>
      </w:r>
      <w:r>
        <w:rPr>
          <w:rFonts w:cs="Arial"/>
        </w:rPr>
        <w:t>pment of the workload over time</w:t>
      </w:r>
      <w:r w:rsidRPr="00F54813">
        <w:rPr>
          <w:rFonts w:cs="Arial"/>
        </w:rPr>
        <w:t>:</w:t>
      </w:r>
    </w:p>
    <w:p w14:paraId="0AC6A88B" w14:textId="77777777" w:rsidR="00103A4B" w:rsidRDefault="00103A4B" w:rsidP="00103A4B">
      <w:pPr>
        <w:pStyle w:val="BodyA"/>
        <w:rPr>
          <w:rFonts w:cs="Arial"/>
        </w:rPr>
      </w:pPr>
      <w:r w:rsidRPr="00F54813">
        <w:rPr>
          <w:rFonts w:cs="Arial"/>
        </w:rPr>
        <w:t>Table 1: Expected input plan</w:t>
      </w:r>
    </w:p>
    <w:p w14:paraId="023C8842" w14:textId="77777777" w:rsidR="00103A4B" w:rsidRDefault="00103A4B" w:rsidP="00103A4B">
      <w:pPr>
        <w:pStyle w:val="BodyA"/>
        <w:rPr>
          <w:rFonts w:cs="Arial"/>
        </w:rPr>
      </w:pPr>
    </w:p>
    <w:tbl>
      <w:tblPr>
        <w:tblW w:w="0" w:type="auto"/>
        <w:tblInd w:w="216" w:type="dxa"/>
        <w:shd w:val="clear" w:color="auto" w:fill="CED7E7"/>
        <w:tblLayout w:type="fixed"/>
        <w:tblLook w:val="0000" w:firstRow="0" w:lastRow="0" w:firstColumn="0" w:lastColumn="0" w:noHBand="0" w:noVBand="0"/>
      </w:tblPr>
      <w:tblGrid>
        <w:gridCol w:w="3018"/>
        <w:gridCol w:w="3018"/>
      </w:tblGrid>
      <w:tr w:rsidR="00103A4B" w:rsidRPr="00595BC5" w14:paraId="345D6595" w14:textId="77777777" w:rsidTr="00B35E10">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0273" w14:textId="77777777" w:rsidR="00103A4B" w:rsidRPr="00C91F91" w:rsidRDefault="00103A4B" w:rsidP="00B35E10">
            <w:pPr>
              <w:pStyle w:val="BodyA"/>
            </w:pPr>
            <w:r w:rsidRPr="00C91F91">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ED1A5" w14:textId="77777777" w:rsidR="00103A4B" w:rsidRPr="00C91F91" w:rsidRDefault="00103A4B" w:rsidP="00B35E10">
            <w:pPr>
              <w:pStyle w:val="BodyA"/>
            </w:pPr>
            <w:r w:rsidRPr="00C91F91">
              <w:t>Days</w:t>
            </w:r>
          </w:p>
        </w:tc>
      </w:tr>
      <w:tr w:rsidR="00103A4B" w:rsidRPr="00595BC5" w14:paraId="403F460D" w14:textId="77777777" w:rsidTr="00B35E10">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ED945" w14:textId="77777777" w:rsidR="00103A4B" w:rsidRPr="00C91F91" w:rsidRDefault="00103A4B" w:rsidP="00B35E10">
            <w:pPr>
              <w:pStyle w:val="BodyA"/>
            </w:pPr>
            <w:r>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2B99" w14:textId="77777777" w:rsidR="00103A4B" w:rsidRPr="0001059E" w:rsidRDefault="00103A4B" w:rsidP="00B35E10">
            <w:pPr>
              <w:pStyle w:val="BodyA"/>
            </w:pPr>
            <w:r w:rsidRPr="0001059E">
              <w:t>16 WD</w:t>
            </w:r>
          </w:p>
        </w:tc>
      </w:tr>
      <w:tr w:rsidR="00103A4B" w:rsidRPr="00595BC5" w14:paraId="09AB441E" w14:textId="77777777" w:rsidTr="00B35E10">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F46C6" w14:textId="77777777" w:rsidR="00103A4B" w:rsidRPr="00C91F91" w:rsidRDefault="00103A4B" w:rsidP="00B35E10">
            <w:pPr>
              <w:pStyle w:val="BodyA"/>
            </w:pPr>
            <w:r w:rsidRPr="00C91F91">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02E8" w14:textId="77777777" w:rsidR="00103A4B" w:rsidRPr="0001059E" w:rsidRDefault="00103A4B" w:rsidP="00B35E10">
            <w:pPr>
              <w:pStyle w:val="BodyA"/>
            </w:pPr>
            <w:r w:rsidRPr="0001059E">
              <w:t>21 WD</w:t>
            </w:r>
          </w:p>
        </w:tc>
      </w:tr>
      <w:tr w:rsidR="00103A4B" w:rsidRPr="00595BC5" w14:paraId="08538612" w14:textId="77777777" w:rsidTr="00B35E10">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F178" w14:textId="77777777" w:rsidR="00103A4B" w:rsidRPr="00C91F91" w:rsidRDefault="00103A4B" w:rsidP="00B35E10">
            <w:pPr>
              <w:pStyle w:val="BodyA"/>
            </w:pPr>
            <w:r w:rsidRPr="00C91F91">
              <w:t>June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C2F68" w14:textId="77777777" w:rsidR="00103A4B" w:rsidRPr="009C64D5" w:rsidRDefault="00103A4B" w:rsidP="00B35E10">
            <w:pPr>
              <w:pStyle w:val="BodyA"/>
              <w:rPr>
                <w:highlight w:val="yellow"/>
              </w:rPr>
            </w:pPr>
            <w:r w:rsidRPr="0001059E">
              <w:t>3 WD</w:t>
            </w:r>
          </w:p>
        </w:tc>
      </w:tr>
    </w:tbl>
    <w:p w14:paraId="074B197D" w14:textId="77777777" w:rsidR="00103A4B" w:rsidRPr="00F54813" w:rsidRDefault="00103A4B" w:rsidP="00103A4B">
      <w:pPr>
        <w:pStyle w:val="BodyA"/>
        <w:widowControl w:val="0"/>
        <w:ind w:left="108" w:hanging="108"/>
        <w:rPr>
          <w:rFonts w:cs="Arial"/>
          <w:color w:val="auto"/>
        </w:rPr>
      </w:pPr>
    </w:p>
    <w:p w14:paraId="671D85AF" w14:textId="77777777" w:rsidR="00103A4B" w:rsidRPr="00223E7D" w:rsidRDefault="00103A4B" w:rsidP="00103A4B">
      <w:pPr>
        <w:pStyle w:val="Heading1"/>
        <w:numPr>
          <w:ilvl w:val="0"/>
          <w:numId w:val="37"/>
        </w:numPr>
        <w:ind w:left="720" w:hanging="360"/>
        <w:jc w:val="both"/>
        <w:rPr>
          <w:rFonts w:ascii="Arial" w:hAnsi="Arial" w:cs="Arial"/>
          <w:b/>
          <w:bCs/>
          <w:lang w:val="en-GB"/>
        </w:rPr>
      </w:pPr>
      <w:r w:rsidRPr="00223E7D">
        <w:rPr>
          <w:rFonts w:ascii="Arial" w:hAnsi="Arial" w:cs="Arial"/>
          <w:b/>
          <w:bCs/>
          <w:lang w:val="en-GB"/>
        </w:rPr>
        <w:t>REQUIREMENTS</w:t>
      </w:r>
    </w:p>
    <w:p w14:paraId="729E6A08" w14:textId="77777777" w:rsidR="00103A4B" w:rsidRPr="0030177E" w:rsidRDefault="00103A4B" w:rsidP="00103A4B">
      <w:pPr>
        <w:pStyle w:val="BodyA"/>
        <w:spacing w:before="120" w:after="240"/>
        <w:rPr>
          <w:lang w:val="en-GB"/>
        </w:rPr>
      </w:pPr>
      <w:r w:rsidRPr="0030177E">
        <w:rPr>
          <w:b/>
          <w:bCs/>
          <w:sz w:val="22"/>
          <w:szCs w:val="22"/>
          <w:lang w:val="en-GB"/>
        </w:rPr>
        <w:t xml:space="preserve">4.1 </w:t>
      </w:r>
      <w:r w:rsidRPr="0030177E">
        <w:rPr>
          <w:b/>
          <w:bCs/>
          <w:sz w:val="22"/>
          <w:szCs w:val="22"/>
          <w:lang w:val="en-GB"/>
        </w:rPr>
        <w:tab/>
        <w:t>Personnel</w:t>
      </w:r>
    </w:p>
    <w:p w14:paraId="42569E7B" w14:textId="77777777" w:rsidR="00103A4B" w:rsidRPr="00595BC5" w:rsidRDefault="00103A4B" w:rsidP="00103A4B">
      <w:pPr>
        <w:pStyle w:val="BodyA"/>
        <w:rPr>
          <w:rFonts w:cs="Arial"/>
          <w:color w:val="auto"/>
        </w:rPr>
      </w:pPr>
      <w:bookmarkStart w:id="5" w:name="_Hlk59121450"/>
      <w:r w:rsidRPr="00595BC5">
        <w:rPr>
          <w:rFonts w:cs="Arial"/>
        </w:rPr>
        <w:t xml:space="preserve">The </w:t>
      </w:r>
      <w:r w:rsidRPr="00595BC5">
        <w:rPr>
          <w:rFonts w:cs="Arial"/>
          <w:b/>
          <w:bCs/>
        </w:rPr>
        <w:t xml:space="preserve">Senior </w:t>
      </w:r>
      <w:r>
        <w:rPr>
          <w:rFonts w:cs="Arial"/>
          <w:b/>
          <w:bCs/>
          <w:lang w:val="it-IT"/>
        </w:rPr>
        <w:t>NK</w:t>
      </w:r>
      <w:r w:rsidRPr="00595BC5">
        <w:rPr>
          <w:rFonts w:cs="Arial"/>
          <w:b/>
          <w:bCs/>
          <w:lang w:val="it-IT"/>
        </w:rPr>
        <w:t xml:space="preserve"> </w:t>
      </w:r>
      <w:r w:rsidRPr="00595BC5">
        <w:rPr>
          <w:rFonts w:cs="Arial"/>
          <w:b/>
          <w:bCs/>
        </w:rPr>
        <w:t>Expert</w:t>
      </w:r>
      <w:r w:rsidRPr="00595BC5">
        <w:rPr>
          <w:rFonts w:cs="Arial"/>
        </w:rPr>
        <w:t xml:space="preserve"> will be expected to meet the following requirements:</w:t>
      </w:r>
    </w:p>
    <w:p w14:paraId="100AABFA" w14:textId="77777777" w:rsidR="00103A4B" w:rsidRPr="00595BC5" w:rsidRDefault="00103A4B" w:rsidP="00103A4B">
      <w:pPr>
        <w:pStyle w:val="BodyA"/>
        <w:tabs>
          <w:tab w:val="left" w:pos="1134"/>
        </w:tabs>
        <w:rPr>
          <w:rFonts w:cs="Arial"/>
          <w:color w:val="auto"/>
        </w:rPr>
      </w:pPr>
      <w:r w:rsidRPr="00595BC5">
        <w:rPr>
          <w:rFonts w:cs="Arial"/>
          <w:u w:val="single"/>
        </w:rPr>
        <w:t>Qualifications and skills</w:t>
      </w:r>
    </w:p>
    <w:p w14:paraId="047460C1" w14:textId="77777777" w:rsidR="00103A4B" w:rsidRPr="00687F6D" w:rsidRDefault="00103A4B" w:rsidP="00103A4B">
      <w:pPr>
        <w:pStyle w:val="BodyA"/>
        <w:numPr>
          <w:ilvl w:val="0"/>
          <w:numId w:val="42"/>
        </w:numPr>
        <w:spacing w:after="0"/>
        <w:rPr>
          <w:rFonts w:cs="Arial"/>
        </w:rPr>
      </w:pPr>
      <w:r w:rsidRPr="00595BC5">
        <w:rPr>
          <w:rFonts w:cs="Arial"/>
        </w:rPr>
        <w:t xml:space="preserve">A </w:t>
      </w:r>
      <w:r>
        <w:rPr>
          <w:rFonts w:cs="Arial"/>
        </w:rPr>
        <w:t>University</w:t>
      </w:r>
      <w:r w:rsidRPr="00595BC5">
        <w:rPr>
          <w:rFonts w:cs="Arial"/>
        </w:rPr>
        <w:t xml:space="preserve"> degree</w:t>
      </w:r>
      <w:r>
        <w:rPr>
          <w:rFonts w:cs="Arial"/>
        </w:rPr>
        <w:t xml:space="preserve"> (</w:t>
      </w:r>
      <w:r w:rsidRPr="00553084">
        <w:rPr>
          <w:rFonts w:cs="Arial"/>
        </w:rPr>
        <w:t xml:space="preserve">at least 4 years </w:t>
      </w:r>
      <w:r>
        <w:rPr>
          <w:rFonts w:cs="Arial"/>
        </w:rPr>
        <w:t>of completed university studies)</w:t>
      </w:r>
      <w:r w:rsidRPr="00553084">
        <w:rPr>
          <w:rFonts w:cs="Arial"/>
        </w:rPr>
        <w:t xml:space="preserve"> in </w:t>
      </w:r>
      <w:r>
        <w:rPr>
          <w:rFonts w:cs="Arial"/>
        </w:rPr>
        <w:t>Economy</w:t>
      </w:r>
      <w:r w:rsidRPr="00553084">
        <w:rPr>
          <w:rFonts w:cs="Arial"/>
          <w:lang w:val="it-IT"/>
        </w:rPr>
        <w:t xml:space="preserve"> </w:t>
      </w:r>
      <w:r w:rsidRPr="00553084">
        <w:rPr>
          <w:rFonts w:cs="Arial"/>
        </w:rPr>
        <w:t xml:space="preserve">or other field relevant to the assignment </w:t>
      </w:r>
    </w:p>
    <w:p w14:paraId="7FB071CC" w14:textId="77777777" w:rsidR="00103A4B" w:rsidRDefault="00103A4B" w:rsidP="00103A4B">
      <w:pPr>
        <w:pStyle w:val="BodyA"/>
        <w:widowControl w:val="0"/>
        <w:spacing w:after="0"/>
        <w:ind w:left="720"/>
        <w:rPr>
          <w:rFonts w:cs="Arial"/>
        </w:rPr>
      </w:pPr>
    </w:p>
    <w:p w14:paraId="2F0AAD53" w14:textId="77777777" w:rsidR="00103A4B" w:rsidRPr="00687F6D" w:rsidRDefault="00103A4B" w:rsidP="00103A4B">
      <w:pPr>
        <w:pStyle w:val="BodyA"/>
        <w:widowControl w:val="0"/>
        <w:spacing w:before="120" w:after="0"/>
        <w:rPr>
          <w:rFonts w:cs="Arial"/>
          <w:u w:val="single"/>
        </w:rPr>
      </w:pPr>
      <w:r w:rsidRPr="00687F6D">
        <w:rPr>
          <w:rFonts w:cs="Arial"/>
          <w:u w:val="single"/>
        </w:rPr>
        <w:t>General professional experience</w:t>
      </w:r>
    </w:p>
    <w:p w14:paraId="47A819B3" w14:textId="77777777" w:rsidR="00103A4B" w:rsidRDefault="00103A4B" w:rsidP="00103A4B">
      <w:pPr>
        <w:pStyle w:val="BodyA"/>
        <w:widowControl w:val="0"/>
        <w:numPr>
          <w:ilvl w:val="0"/>
          <w:numId w:val="43"/>
        </w:numPr>
        <w:spacing w:before="120" w:after="0"/>
        <w:rPr>
          <w:rFonts w:cs="Arial"/>
        </w:rPr>
      </w:pPr>
      <w:bookmarkStart w:id="6" w:name="_Hlk54348997"/>
      <w:r>
        <w:rPr>
          <w:rFonts w:cs="Arial"/>
        </w:rPr>
        <w:t xml:space="preserve">Minimum 7 years of professional experience in relation to the capital market development </w:t>
      </w:r>
    </w:p>
    <w:bookmarkEnd w:id="6"/>
    <w:p w14:paraId="16EECBFC" w14:textId="77777777" w:rsidR="00103A4B" w:rsidRDefault="00103A4B" w:rsidP="00103A4B">
      <w:pPr>
        <w:pStyle w:val="BodyA"/>
        <w:widowControl w:val="0"/>
        <w:spacing w:after="0"/>
        <w:rPr>
          <w:rFonts w:cs="Arial"/>
          <w:u w:val="single"/>
        </w:rPr>
      </w:pPr>
    </w:p>
    <w:p w14:paraId="621441DC" w14:textId="77777777" w:rsidR="00103A4B" w:rsidRPr="00687F6D" w:rsidRDefault="00103A4B" w:rsidP="00103A4B">
      <w:pPr>
        <w:pStyle w:val="BodyA"/>
        <w:widowControl w:val="0"/>
        <w:spacing w:after="0"/>
        <w:rPr>
          <w:rFonts w:cs="Arial"/>
          <w:u w:val="single"/>
        </w:rPr>
      </w:pPr>
      <w:r w:rsidRPr="00687F6D">
        <w:rPr>
          <w:rFonts w:cs="Arial"/>
          <w:u w:val="single"/>
        </w:rPr>
        <w:t>Specific professional experience</w:t>
      </w:r>
    </w:p>
    <w:p w14:paraId="3E2F816B" w14:textId="77777777" w:rsidR="00103A4B" w:rsidRPr="00687F6D" w:rsidRDefault="00103A4B" w:rsidP="00103A4B">
      <w:pPr>
        <w:pStyle w:val="BodyA"/>
        <w:widowControl w:val="0"/>
        <w:tabs>
          <w:tab w:val="left" w:pos="720"/>
        </w:tabs>
        <w:spacing w:after="0"/>
        <w:rPr>
          <w:rFonts w:cs="Arial"/>
          <w:color w:val="auto"/>
          <w:u w:val="single"/>
        </w:rPr>
      </w:pPr>
    </w:p>
    <w:p w14:paraId="3F84C04F" w14:textId="77777777" w:rsidR="00103A4B" w:rsidRPr="00612E40" w:rsidRDefault="00103A4B" w:rsidP="00103A4B">
      <w:pPr>
        <w:pStyle w:val="BodyA"/>
        <w:widowControl w:val="0"/>
        <w:numPr>
          <w:ilvl w:val="0"/>
          <w:numId w:val="42"/>
        </w:numPr>
        <w:spacing w:after="0"/>
        <w:rPr>
          <w:rFonts w:cs="Arial"/>
        </w:rPr>
      </w:pPr>
      <w:bookmarkStart w:id="7" w:name="_Hlk54349015"/>
      <w:r w:rsidRPr="00612E40">
        <w:rPr>
          <w:rFonts w:cs="Arial"/>
        </w:rPr>
        <w:t>Minimum 5 years of experience in consulting on improving business activities for the clients (e.g. preparation of business plans annual budgets, portfolio management, business analysis, corporate finance</w:t>
      </w:r>
      <w:r>
        <w:rPr>
          <w:rFonts w:cs="Arial"/>
        </w:rPr>
        <w:t xml:space="preserve">). </w:t>
      </w:r>
    </w:p>
    <w:bookmarkEnd w:id="5"/>
    <w:p w14:paraId="62D279C1" w14:textId="77777777" w:rsidR="00103A4B" w:rsidRDefault="00103A4B" w:rsidP="00103A4B">
      <w:pPr>
        <w:pStyle w:val="BodyA"/>
        <w:widowControl w:val="0"/>
        <w:spacing w:after="0"/>
        <w:ind w:left="360"/>
        <w:rPr>
          <w:rFonts w:cs="Arial"/>
        </w:rPr>
      </w:pPr>
    </w:p>
    <w:bookmarkEnd w:id="7"/>
    <w:p w14:paraId="3F95BFE6" w14:textId="77777777" w:rsidR="00103A4B" w:rsidRPr="00BA7AAB" w:rsidRDefault="00103A4B" w:rsidP="00103A4B">
      <w:pPr>
        <w:pStyle w:val="Heading1"/>
        <w:numPr>
          <w:ilvl w:val="0"/>
          <w:numId w:val="39"/>
        </w:numPr>
        <w:ind w:left="720" w:hanging="360"/>
        <w:jc w:val="both"/>
        <w:rPr>
          <w:rFonts w:ascii="Arial" w:hAnsi="Arial" w:cs="Arial"/>
          <w:b/>
          <w:bCs/>
          <w:lang w:val="en-GB"/>
        </w:rPr>
      </w:pPr>
      <w:r w:rsidRPr="00BA7AAB">
        <w:rPr>
          <w:rFonts w:ascii="Arial" w:hAnsi="Arial" w:cs="Arial"/>
          <w:b/>
          <w:bCs/>
          <w:lang w:val="en-GB"/>
        </w:rPr>
        <w:t>REPORTS</w:t>
      </w:r>
    </w:p>
    <w:p w14:paraId="6EEFABC6" w14:textId="77777777" w:rsidR="00103A4B" w:rsidRPr="0030177E" w:rsidRDefault="00103A4B" w:rsidP="00103A4B">
      <w:pPr>
        <w:pStyle w:val="BodyA"/>
        <w:spacing w:before="120" w:after="240"/>
        <w:rPr>
          <w:lang w:val="en-GB"/>
        </w:rPr>
      </w:pPr>
      <w:r w:rsidRPr="0030177E">
        <w:rPr>
          <w:b/>
          <w:bCs/>
          <w:sz w:val="22"/>
          <w:szCs w:val="22"/>
          <w:lang w:val="en-GB"/>
        </w:rPr>
        <w:t xml:space="preserve">5.1 </w:t>
      </w:r>
      <w:r w:rsidRPr="0030177E">
        <w:rPr>
          <w:b/>
          <w:bCs/>
          <w:sz w:val="22"/>
          <w:szCs w:val="22"/>
          <w:lang w:val="en-GB"/>
        </w:rPr>
        <w:tab/>
        <w:t>Reporting requirements</w:t>
      </w:r>
    </w:p>
    <w:p w14:paraId="7B9DC73B" w14:textId="77777777" w:rsidR="00103A4B" w:rsidRPr="0030177E" w:rsidRDefault="00103A4B" w:rsidP="00103A4B">
      <w:pPr>
        <w:pStyle w:val="BodyA"/>
        <w:rPr>
          <w:lang w:val="en-GB"/>
        </w:rPr>
      </w:pPr>
      <w:bookmarkStart w:id="8" w:name="_Hlk59121561"/>
      <w:r>
        <w:rPr>
          <w:lang w:val="en-GB"/>
        </w:rPr>
        <w:lastRenderedPageBreak/>
        <w:t>On a monthly basis</w:t>
      </w:r>
      <w:r w:rsidRPr="0030177E">
        <w:rPr>
          <w:lang w:val="en-GB"/>
        </w:rPr>
        <w:t xml:space="preserve">, the </w:t>
      </w:r>
      <w:r w:rsidRPr="0030177E">
        <w:rPr>
          <w:b/>
          <w:bCs/>
          <w:lang w:val="en-GB"/>
        </w:rPr>
        <w:t xml:space="preserve">Senior </w:t>
      </w:r>
      <w:r w:rsidRPr="00223E7D">
        <w:rPr>
          <w:b/>
          <w:bCs/>
          <w:color w:val="auto"/>
          <w:lang w:val="en-GB"/>
        </w:rPr>
        <w:t>NK</w:t>
      </w:r>
      <w:r w:rsidRPr="0030177E">
        <w:rPr>
          <w:b/>
          <w:bCs/>
          <w:lang w:val="en-GB"/>
        </w:rPr>
        <w:t>E</w:t>
      </w:r>
      <w:r w:rsidRPr="0030177E">
        <w:rPr>
          <w:lang w:val="en-GB"/>
        </w:rPr>
        <w:t xml:space="preserve"> will provide the Technical Assistance Team Leader with the following:</w:t>
      </w:r>
    </w:p>
    <w:p w14:paraId="6EF12FD2" w14:textId="77777777" w:rsidR="00103A4B" w:rsidRPr="0030177E" w:rsidRDefault="00103A4B" w:rsidP="00103A4B">
      <w:pPr>
        <w:pStyle w:val="ListParagraph"/>
        <w:widowControl w:val="0"/>
        <w:numPr>
          <w:ilvl w:val="0"/>
          <w:numId w:val="41"/>
        </w:numPr>
        <w:pBdr>
          <w:top w:val="nil"/>
          <w:left w:val="nil"/>
          <w:bottom w:val="nil"/>
          <w:right w:val="nil"/>
          <w:between w:val="nil"/>
          <w:bar w:val="nil"/>
        </w:pBdr>
        <w:spacing w:after="0" w:line="280" w:lineRule="atLeast"/>
        <w:contextualSpacing w:val="0"/>
        <w:jc w:val="both"/>
        <w:rPr>
          <w:rFonts w:ascii="Arial" w:hAnsi="Arial"/>
          <w:sz w:val="20"/>
          <w:szCs w:val="20"/>
          <w:lang w:val="en-GB"/>
        </w:rPr>
      </w:pPr>
      <w:r w:rsidRPr="0030177E">
        <w:rPr>
          <w:rFonts w:ascii="Arial" w:hAnsi="Arial"/>
          <w:sz w:val="20"/>
          <w:szCs w:val="20"/>
          <w:lang w:val="en-GB"/>
        </w:rPr>
        <w:t>Mission reports</w:t>
      </w:r>
      <w:r>
        <w:rPr>
          <w:rFonts w:ascii="Arial" w:hAnsi="Arial"/>
          <w:sz w:val="20"/>
          <w:szCs w:val="20"/>
          <w:lang w:val="en-GB"/>
        </w:rPr>
        <w:t xml:space="preserve"> </w:t>
      </w:r>
      <w:r>
        <w:rPr>
          <w:rFonts w:ascii="Arial" w:hAnsi="Arial" w:cs="Arial"/>
          <w:sz w:val="20"/>
          <w:szCs w:val="20"/>
        </w:rPr>
        <w:t>with attached outputs for the current month</w:t>
      </w:r>
    </w:p>
    <w:p w14:paraId="35C48234" w14:textId="77777777" w:rsidR="00103A4B" w:rsidRDefault="00103A4B" w:rsidP="00103A4B">
      <w:pPr>
        <w:pStyle w:val="ListParagraph"/>
        <w:widowControl w:val="0"/>
        <w:numPr>
          <w:ilvl w:val="0"/>
          <w:numId w:val="41"/>
        </w:numPr>
        <w:pBdr>
          <w:top w:val="nil"/>
          <w:left w:val="nil"/>
          <w:bottom w:val="nil"/>
          <w:right w:val="nil"/>
          <w:between w:val="nil"/>
          <w:bar w:val="nil"/>
        </w:pBdr>
        <w:spacing w:after="0" w:line="280" w:lineRule="atLeast"/>
        <w:contextualSpacing w:val="0"/>
        <w:jc w:val="both"/>
        <w:rPr>
          <w:rFonts w:ascii="Arial" w:hAnsi="Arial"/>
          <w:sz w:val="20"/>
          <w:szCs w:val="20"/>
          <w:lang w:val="en-GB"/>
        </w:rPr>
      </w:pPr>
      <w:r w:rsidRPr="0030177E">
        <w:rPr>
          <w:rFonts w:ascii="Arial" w:hAnsi="Arial"/>
          <w:sz w:val="20"/>
          <w:szCs w:val="20"/>
          <w:lang w:val="en-GB"/>
        </w:rPr>
        <w:t>Signed timesheet</w:t>
      </w:r>
    </w:p>
    <w:p w14:paraId="4EC3C28E" w14:textId="77777777" w:rsidR="00103A4B" w:rsidRDefault="00103A4B" w:rsidP="00103A4B">
      <w:pPr>
        <w:jc w:val="both"/>
        <w:rPr>
          <w:rFonts w:ascii="Arial" w:hAnsi="Arial"/>
          <w:sz w:val="20"/>
          <w:szCs w:val="20"/>
          <w:lang w:val="en-GB"/>
        </w:rPr>
      </w:pPr>
    </w:p>
    <w:p w14:paraId="470BAE3B" w14:textId="77777777" w:rsidR="00103A4B" w:rsidRPr="00D13D11" w:rsidRDefault="00103A4B" w:rsidP="00103A4B">
      <w:r>
        <w:rPr>
          <w:rFonts w:ascii="Arial" w:hAnsi="Arial"/>
          <w:sz w:val="20"/>
          <w:szCs w:val="20"/>
          <w:lang w:val="en-GB"/>
        </w:rPr>
        <w:t>By request of the Team Leader inputs for the Progress Reports and briefing papers will need to be prepared.</w:t>
      </w:r>
    </w:p>
    <w:bookmarkEnd w:id="8"/>
    <w:p w14:paraId="572F2B94" w14:textId="77777777" w:rsidR="00D277C9" w:rsidRDefault="00D277C9" w:rsidP="00D277C9">
      <w:pPr>
        <w:pStyle w:val="ColorfulList-Accent11"/>
        <w:spacing w:after="0"/>
        <w:jc w:val="both"/>
        <w:rPr>
          <w:rFonts w:ascii="Arial" w:hAnsi="Arial" w:cs="Arial"/>
          <w:sz w:val="20"/>
          <w:szCs w:val="20"/>
        </w:rPr>
      </w:pPr>
    </w:p>
    <w:p w14:paraId="442CB77A" w14:textId="5FCFC590" w:rsidR="00D277C9" w:rsidRPr="00D277C9" w:rsidRDefault="00D277C9" w:rsidP="00D277C9">
      <w:pPr>
        <w:pStyle w:val="ListParagraph"/>
        <w:widowControl w:val="0"/>
        <w:numPr>
          <w:ilvl w:val="0"/>
          <w:numId w:val="6"/>
        </w:numPr>
        <w:spacing w:after="0" w:line="280" w:lineRule="atLeast"/>
        <w:ind w:left="0"/>
        <w:jc w:val="both"/>
        <w:rPr>
          <w:rFonts w:ascii="Arial" w:eastAsia="Arial Unicode MS" w:hAnsi="Arial" w:cs="Arial"/>
          <w:color w:val="000000"/>
          <w:sz w:val="20"/>
          <w:szCs w:val="20"/>
          <w:u w:color="000000"/>
          <w:lang w:val="en-GB"/>
        </w:rPr>
      </w:pPr>
      <w:r w:rsidRPr="00D277C9">
        <w:rPr>
          <w:rFonts w:ascii="Arial" w:eastAsia="Arial Unicode MS" w:hAnsi="Arial" w:cs="Arial"/>
          <w:color w:val="000000"/>
          <w:sz w:val="20"/>
          <w:szCs w:val="20"/>
          <w:u w:color="000000"/>
          <w:lang w:val="en-GB"/>
        </w:rPr>
        <w:t>Please submit your applications in the form of a CV and short cover letter at the latest by</w:t>
      </w:r>
      <w:r w:rsidR="001943C8">
        <w:rPr>
          <w:rFonts w:ascii="Arial" w:eastAsia="Arial Unicode MS" w:hAnsi="Arial" w:cs="Arial"/>
          <w:color w:val="000000"/>
          <w:sz w:val="20"/>
          <w:szCs w:val="20"/>
          <w:u w:color="000000"/>
          <w:lang w:val="en-GB"/>
        </w:rPr>
        <w:t xml:space="preserve"> April</w:t>
      </w:r>
      <w:r w:rsidRPr="00D277C9">
        <w:rPr>
          <w:rFonts w:ascii="Arial" w:eastAsia="Arial Unicode MS" w:hAnsi="Arial" w:cs="Arial"/>
          <w:color w:val="000000"/>
          <w:sz w:val="20"/>
          <w:szCs w:val="20"/>
          <w:u w:color="000000"/>
          <w:lang w:val="en-GB"/>
        </w:rPr>
        <w:t xml:space="preserve"> </w:t>
      </w:r>
      <w:r w:rsidR="00020895">
        <w:rPr>
          <w:rFonts w:ascii="Arial" w:eastAsia="Arial Unicode MS" w:hAnsi="Arial" w:cs="Arial"/>
          <w:color w:val="000000"/>
          <w:sz w:val="20"/>
          <w:szCs w:val="20"/>
          <w:u w:color="000000"/>
          <w:lang w:val="en-GB"/>
        </w:rPr>
        <w:t>7</w:t>
      </w:r>
      <w:r w:rsidRPr="00D277C9">
        <w:rPr>
          <w:rFonts w:ascii="Arial" w:eastAsia="Arial Unicode MS" w:hAnsi="Arial" w:cs="Arial"/>
          <w:color w:val="000000"/>
          <w:sz w:val="20"/>
          <w:szCs w:val="20"/>
          <w:u w:color="000000"/>
          <w:vertAlign w:val="superscript"/>
          <w:lang w:val="en-GB"/>
        </w:rPr>
        <w:t>th</w:t>
      </w:r>
      <w:r w:rsidRPr="00D277C9">
        <w:rPr>
          <w:rFonts w:ascii="Arial" w:eastAsia="Arial Unicode MS" w:hAnsi="Arial" w:cs="Arial"/>
          <w:color w:val="000000"/>
          <w:sz w:val="20"/>
          <w:szCs w:val="20"/>
          <w:u w:color="000000"/>
          <w:lang w:val="en-GB"/>
        </w:rPr>
        <w:t>, 2022 at 23:59, to cweltzien@ppf.rs and cc to: mdijan@ppf.rs. Only short-listed candidates will be contacted.</w:t>
      </w:r>
    </w:p>
    <w:p w14:paraId="32A37783" w14:textId="77777777" w:rsidR="00D277C9" w:rsidRDefault="00D277C9" w:rsidP="00D277C9">
      <w:pPr>
        <w:pStyle w:val="ColorfulList-Accent11"/>
        <w:spacing w:after="0"/>
        <w:jc w:val="both"/>
        <w:rPr>
          <w:rFonts w:ascii="Arial" w:hAnsi="Arial" w:cs="Arial"/>
          <w:sz w:val="20"/>
          <w:szCs w:val="20"/>
        </w:rPr>
      </w:pPr>
    </w:p>
    <w:sectPr w:rsidR="00D277C9"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D1EA" w14:textId="77777777" w:rsidR="001822B6" w:rsidRDefault="001822B6" w:rsidP="0069431C">
      <w:pPr>
        <w:spacing w:after="0" w:line="240" w:lineRule="auto"/>
      </w:pPr>
      <w:r>
        <w:separator/>
      </w:r>
    </w:p>
  </w:endnote>
  <w:endnote w:type="continuationSeparator" w:id="0">
    <w:p w14:paraId="4325549C" w14:textId="77777777" w:rsidR="001822B6" w:rsidRDefault="001822B6"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AF19" w14:textId="77777777" w:rsidR="001822B6" w:rsidRDefault="001822B6" w:rsidP="0069431C">
      <w:pPr>
        <w:spacing w:after="0" w:line="240" w:lineRule="auto"/>
      </w:pPr>
      <w:r>
        <w:separator/>
      </w:r>
    </w:p>
  </w:footnote>
  <w:footnote w:type="continuationSeparator" w:id="0">
    <w:p w14:paraId="51602CD9" w14:textId="77777777" w:rsidR="001822B6" w:rsidRDefault="001822B6" w:rsidP="0069431C">
      <w:pPr>
        <w:spacing w:after="0" w:line="240" w:lineRule="auto"/>
      </w:pPr>
      <w:r>
        <w:continuationSeparator/>
      </w:r>
    </w:p>
  </w:footnote>
  <w:footnote w:id="1">
    <w:p w14:paraId="2627F5D0" w14:textId="77777777" w:rsidR="00103A4B" w:rsidRPr="00DA4B82" w:rsidRDefault="00103A4B" w:rsidP="00103A4B">
      <w:pPr>
        <w:jc w:val="both"/>
        <w:rPr>
          <w:rFonts w:ascii="Calibri" w:hAnsi="Calibri" w:cs="Calibri"/>
          <w:sz w:val="16"/>
          <w:szCs w:val="16"/>
        </w:rPr>
      </w:pPr>
      <w:r w:rsidRPr="00DA4B82">
        <w:rPr>
          <w:rStyle w:val="FootnoteReference"/>
          <w:rFonts w:ascii="Calibri" w:hAnsi="Calibri" w:cs="Calibri"/>
          <w:sz w:val="16"/>
          <w:szCs w:val="16"/>
        </w:rPr>
        <w:footnoteRef/>
      </w:r>
      <w:r w:rsidRPr="00DA4B82">
        <w:rPr>
          <w:rFonts w:ascii="Calibri" w:hAnsi="Calibri" w:cs="Calibri"/>
          <w:sz w:val="16"/>
          <w:szCs w:val="16"/>
        </w:rPr>
        <w:t xml:space="preserve"> COM(2020)641 final Communication from the Commission to the European Parliament, the Council, the European Economic and Social Committee and the Committee of the Regions – An Economic and Investment Plan for the Western Balkans. </w:t>
      </w:r>
    </w:p>
    <w:p w14:paraId="660DE103" w14:textId="77777777" w:rsidR="00103A4B" w:rsidRPr="00B21F0F" w:rsidRDefault="00103A4B" w:rsidP="00103A4B">
      <w:pPr>
        <w:jc w:val="both"/>
      </w:pPr>
      <w:r w:rsidRPr="00DA4B82">
        <w:rPr>
          <w:rFonts w:ascii="Calibri" w:hAnsi="Calibri" w:cs="Calibri"/>
          <w:sz w:val="16"/>
          <w:szCs w:val="16"/>
        </w:rPr>
        <w:t>https://ec.europa.eu/neighbourhood-enlargement/sites/near/files/communication_on_wb_economic_and_investment_plan_october_2020_en.pdf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B1066EE">
      <w:numFmt w:val="decimal"/>
      <w:lvlText w:val=""/>
      <w:lvlJc w:val="left"/>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 w15:restartNumberingAfterBreak="0">
    <w:nsid w:val="00000004"/>
    <w:multiLevelType w:val="hybridMultilevel"/>
    <w:tmpl w:val="80B4FA64"/>
    <w:lvl w:ilvl="0" w:tplc="96FA907E">
      <w:start w:val="1"/>
      <w:numFmt w:val="decimal"/>
      <w:lvlText w:val="%1."/>
      <w:lvlJc w:val="left"/>
      <w:rPr>
        <w:rFonts w:ascii="Arial" w:eastAsia="Arial Unicode MS" w:hAnsi="Arial" w:cs="Arial"/>
      </w:rPr>
    </w:lvl>
    <w:lvl w:ilvl="1" w:tplc="1A048D32">
      <w:numFmt w:val="decimal"/>
      <w:lvlText w:val=""/>
      <w:lvlJc w:val="left"/>
    </w:lvl>
    <w:lvl w:ilvl="2" w:tplc="5C8A6EC4">
      <w:numFmt w:val="decimal"/>
      <w:lvlText w:val=""/>
      <w:lvlJc w:val="left"/>
    </w:lvl>
    <w:lvl w:ilvl="3" w:tplc="DDBE7A0C">
      <w:numFmt w:val="decimal"/>
      <w:lvlText w:val=""/>
      <w:lvlJc w:val="left"/>
    </w:lvl>
    <w:lvl w:ilvl="4" w:tplc="B366D6B4">
      <w:numFmt w:val="decimal"/>
      <w:lvlText w:val=""/>
      <w:lvlJc w:val="left"/>
    </w:lvl>
    <w:lvl w:ilvl="5" w:tplc="6102EFF6">
      <w:numFmt w:val="decimal"/>
      <w:lvlText w:val=""/>
      <w:lvlJc w:val="left"/>
    </w:lvl>
    <w:lvl w:ilvl="6" w:tplc="69EC0948">
      <w:numFmt w:val="decimal"/>
      <w:lvlText w:val=""/>
      <w:lvlJc w:val="left"/>
    </w:lvl>
    <w:lvl w:ilvl="7" w:tplc="4B78B5AE">
      <w:numFmt w:val="decimal"/>
      <w:lvlText w:val=""/>
      <w:lvlJc w:val="left"/>
    </w:lvl>
    <w:lvl w:ilvl="8" w:tplc="7EE4831E">
      <w:numFmt w:val="decimal"/>
      <w:lvlText w:val=""/>
      <w:lvlJc w:val="left"/>
    </w:lvl>
  </w:abstractNum>
  <w:abstractNum w:abstractNumId="2" w15:restartNumberingAfterBreak="0">
    <w:nsid w:val="00000006"/>
    <w:multiLevelType w:val="hybridMultilevel"/>
    <w:tmpl w:val="1BCE033A"/>
    <w:numStyleLink w:val="ImportedStyle4"/>
  </w:abstractNum>
  <w:abstractNum w:abstractNumId="3"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4"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7A2E70"/>
    <w:multiLevelType w:val="hybridMultilevel"/>
    <w:tmpl w:val="6F7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9A75BC"/>
    <w:multiLevelType w:val="hybridMultilevel"/>
    <w:tmpl w:val="D36C7EBC"/>
    <w:numStyleLink w:val="ImportedStyle5"/>
  </w:abstractNum>
  <w:abstractNum w:abstractNumId="9"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E61A03"/>
    <w:multiLevelType w:val="hybridMultilevel"/>
    <w:tmpl w:val="ED2685C0"/>
    <w:numStyleLink w:val="ImportedStyle2"/>
  </w:abstractNum>
  <w:abstractNum w:abstractNumId="15"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7"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19" w15:restartNumberingAfterBreak="0">
    <w:nsid w:val="57C610B2"/>
    <w:multiLevelType w:val="multilevel"/>
    <w:tmpl w:val="C082E274"/>
    <w:styleLink w:val="ImportedStyle1"/>
    <w:lvl w:ilvl="0">
      <w:start w:val="1"/>
      <w:numFmt w:val="decimal"/>
      <w:lvlText w:val="%1."/>
      <w:lvlJc w:val="left"/>
      <w:pPr>
        <w:tabs>
          <w:tab w:val="left" w:pos="426"/>
        </w:tabs>
        <w:ind w:left="387" w:hanging="387"/>
      </w:pPr>
      <w:rPr>
        <w:rFonts w:hAnsi="Arial Unicode MS"/>
        <w:caps w:val="0"/>
        <w:smallCaps w:val="0"/>
        <w:strike w:val="0"/>
        <w:dstrike w:val="0"/>
        <w:spacing w:val="0"/>
        <w:w w:val="100"/>
        <w:kern w:val="0"/>
        <w:position w:val="0"/>
        <w:highlight w:val="none"/>
        <w:vertAlign w:val="baseline"/>
      </w:rPr>
    </w:lvl>
    <w:lvl w:ilvl="1">
      <w:start w:val="1"/>
      <w:numFmt w:val="decimal"/>
      <w:lvlText w:val="%1.%2."/>
      <w:lvlJc w:val="left"/>
      <w:pPr>
        <w:tabs>
          <w:tab w:val="left" w:pos="426"/>
        </w:tabs>
        <w:ind w:left="387" w:hanging="387"/>
      </w:pPr>
      <w:rPr>
        <w:rFonts w:hAnsi="Arial Unicode MS"/>
        <w:caps w:val="0"/>
        <w:smallCaps w:val="0"/>
        <w:strike w:val="0"/>
        <w:dstrike w:val="0"/>
        <w:spacing w:val="0"/>
        <w:w w:val="100"/>
        <w:kern w:val="0"/>
        <w:position w:val="0"/>
        <w:highlight w:val="none"/>
        <w:vertAlign w:val="baseline"/>
      </w:rPr>
    </w:lvl>
    <w:lvl w:ilvl="2">
      <w:start w:val="1"/>
      <w:numFmt w:val="decimal"/>
      <w:lvlText w:val="%1.%2.%3."/>
      <w:lvlJc w:val="left"/>
      <w:pPr>
        <w:tabs>
          <w:tab w:val="left" w:pos="426"/>
        </w:tabs>
        <w:ind w:left="715" w:hanging="715"/>
      </w:pPr>
      <w:rPr>
        <w:rFonts w:hAnsi="Arial Unicode MS"/>
        <w:caps w:val="0"/>
        <w:smallCaps w:val="0"/>
        <w:strike w:val="0"/>
        <w:dstrike w:val="0"/>
        <w:spacing w:val="0"/>
        <w:w w:val="100"/>
        <w:kern w:val="0"/>
        <w:position w:val="0"/>
        <w:highlight w:val="none"/>
        <w:vertAlign w:val="baseline"/>
      </w:rPr>
    </w:lvl>
    <w:lvl w:ilvl="3">
      <w:start w:val="1"/>
      <w:numFmt w:val="decimal"/>
      <w:lvlText w:val="%1.%2.%3.%4."/>
      <w:lvlJc w:val="left"/>
      <w:pPr>
        <w:tabs>
          <w:tab w:val="left" w:pos="426"/>
        </w:tabs>
        <w:ind w:left="715" w:hanging="715"/>
      </w:pPr>
      <w:rPr>
        <w:rFonts w:hAnsi="Arial Unicode MS"/>
        <w:caps w:val="0"/>
        <w:smallCaps w:val="0"/>
        <w:strike w:val="0"/>
        <w:dstrike w:val="0"/>
        <w:spacing w:val="0"/>
        <w:w w:val="100"/>
        <w:kern w:val="0"/>
        <w:position w:val="0"/>
        <w:highlight w:val="none"/>
        <w:vertAlign w:val="baseline"/>
      </w:rPr>
    </w:lvl>
    <w:lvl w:ilvl="4">
      <w:start w:val="1"/>
      <w:numFmt w:val="decimal"/>
      <w:lvlText w:val="%1.%2.%3.%4.%5."/>
      <w:lvlJc w:val="left"/>
      <w:pPr>
        <w:tabs>
          <w:tab w:val="left" w:pos="426"/>
        </w:tabs>
        <w:ind w:left="1042" w:hanging="1042"/>
      </w:pPr>
      <w:rPr>
        <w:rFonts w:hAnsi="Arial Unicode MS"/>
        <w:caps w:val="0"/>
        <w:smallCaps w:val="0"/>
        <w:strike w:val="0"/>
        <w:dstrike w:val="0"/>
        <w:spacing w:val="0"/>
        <w:w w:val="100"/>
        <w:kern w:val="0"/>
        <w:position w:val="0"/>
        <w:highlight w:val="none"/>
        <w:vertAlign w:val="baseline"/>
      </w:rPr>
    </w:lvl>
    <w:lvl w:ilvl="5">
      <w:start w:val="1"/>
      <w:numFmt w:val="decimal"/>
      <w:lvlText w:val="%1.%2.%3.%4.%5.%6."/>
      <w:lvlJc w:val="left"/>
      <w:pPr>
        <w:tabs>
          <w:tab w:val="left" w:pos="426"/>
        </w:tabs>
        <w:ind w:left="1042" w:hanging="1042"/>
      </w:pPr>
      <w:rPr>
        <w:rFonts w:hAnsi="Arial Unicode MS"/>
        <w:caps w:val="0"/>
        <w:smallCaps w:val="0"/>
        <w:strike w:val="0"/>
        <w:dstrike w:val="0"/>
        <w:spacing w:val="0"/>
        <w:w w:val="100"/>
        <w:kern w:val="0"/>
        <w:position w:val="0"/>
        <w:highlight w:val="none"/>
        <w:vertAlign w:val="baseline"/>
      </w:rPr>
    </w:lvl>
    <w:lvl w:ilvl="6">
      <w:start w:val="1"/>
      <w:numFmt w:val="decimal"/>
      <w:lvlText w:val="%1.%2.%3.%4.%5.%6.%7."/>
      <w:lvlJc w:val="left"/>
      <w:pPr>
        <w:tabs>
          <w:tab w:val="left" w:pos="426"/>
        </w:tabs>
        <w:ind w:left="1369" w:hanging="1369"/>
      </w:pPr>
      <w:rPr>
        <w:rFonts w:hAnsi="Arial Unicode M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426"/>
        </w:tabs>
        <w:ind w:left="1369" w:hanging="1369"/>
      </w:pPr>
      <w:rPr>
        <w:rFonts w:hAnsi="Arial Unicode M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426"/>
        </w:tabs>
        <w:ind w:left="1696" w:hanging="1696"/>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323ABD"/>
    <w:multiLevelType w:val="hybridMultilevel"/>
    <w:tmpl w:val="55F2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D29A6"/>
    <w:multiLevelType w:val="hybridMultilevel"/>
    <w:tmpl w:val="D55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25"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B0109"/>
    <w:multiLevelType w:val="multilevel"/>
    <w:tmpl w:val="C082E274"/>
    <w:numStyleLink w:val="ImportedStyle1"/>
  </w:abstractNum>
  <w:abstractNum w:abstractNumId="27"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344AB4"/>
    <w:multiLevelType w:val="multilevel"/>
    <w:tmpl w:val="58204BC6"/>
    <w:lvl w:ilvl="0">
      <w:start w:val="1"/>
      <w:numFmt w:val="decimal"/>
      <w:lvlText w:val="%1"/>
      <w:lvlJc w:val="left"/>
      <w:pPr>
        <w:ind w:left="360" w:hanging="360"/>
      </w:pPr>
      <w:rPr>
        <w:rFonts w:hint="default"/>
        <w:b/>
        <w:color w:val="000000"/>
        <w:sz w:val="22"/>
      </w:rPr>
    </w:lvl>
    <w:lvl w:ilvl="1">
      <w:start w:val="3"/>
      <w:numFmt w:val="decimal"/>
      <w:lvlText w:val="%1.%2"/>
      <w:lvlJc w:val="left"/>
      <w:pPr>
        <w:ind w:left="360" w:hanging="36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num w:numId="1" w16cid:durableId="109518497">
    <w:abstractNumId w:val="29"/>
  </w:num>
  <w:num w:numId="2" w16cid:durableId="1798058875">
    <w:abstractNumId w:val="29"/>
    <w:lvlOverride w:ilvl="0">
      <w:startOverride w:val="2"/>
    </w:lvlOverride>
  </w:num>
  <w:num w:numId="3" w16cid:durableId="1779524373">
    <w:abstractNumId w:val="29"/>
    <w:lvlOverride w:ilvl="0">
      <w:startOverride w:val="3"/>
    </w:lvlOverride>
  </w:num>
  <w:num w:numId="4" w16cid:durableId="141164649">
    <w:abstractNumId w:val="29"/>
    <w:lvlOverride w:ilvl="0">
      <w:startOverride w:val="4"/>
    </w:lvlOverride>
  </w:num>
  <w:num w:numId="5" w16cid:durableId="1579903969">
    <w:abstractNumId w:val="29"/>
    <w:lvlOverride w:ilvl="0">
      <w:startOverride w:val="5"/>
    </w:lvlOverride>
  </w:num>
  <w:num w:numId="6" w16cid:durableId="172768153">
    <w:abstractNumId w:val="3"/>
  </w:num>
  <w:num w:numId="7" w16cid:durableId="1074620866">
    <w:abstractNumId w:val="16"/>
  </w:num>
  <w:num w:numId="8" w16cid:durableId="1257637516">
    <w:abstractNumId w:val="27"/>
  </w:num>
  <w:num w:numId="9" w16cid:durableId="496386400">
    <w:abstractNumId w:val="11"/>
  </w:num>
  <w:num w:numId="10" w16cid:durableId="1077746392">
    <w:abstractNumId w:val="15"/>
  </w:num>
  <w:num w:numId="11" w16cid:durableId="821431320">
    <w:abstractNumId w:val="17"/>
  </w:num>
  <w:num w:numId="12" w16cid:durableId="899092325">
    <w:abstractNumId w:val="4"/>
  </w:num>
  <w:num w:numId="13" w16cid:durableId="601492024">
    <w:abstractNumId w:val="21"/>
  </w:num>
  <w:num w:numId="14" w16cid:durableId="1145927734">
    <w:abstractNumId w:val="21"/>
    <w:lvlOverride w:ilvl="0">
      <w:startOverride w:val="2"/>
    </w:lvlOverride>
  </w:num>
  <w:num w:numId="15" w16cid:durableId="1068726102">
    <w:abstractNumId w:val="21"/>
    <w:lvlOverride w:ilvl="0">
      <w:startOverride w:val="3"/>
    </w:lvlOverride>
  </w:num>
  <w:num w:numId="16" w16cid:durableId="283999162">
    <w:abstractNumId w:val="21"/>
    <w:lvlOverride w:ilvl="0">
      <w:startOverride w:val="4"/>
    </w:lvlOverride>
  </w:num>
  <w:num w:numId="17" w16cid:durableId="1787581301">
    <w:abstractNumId w:val="21"/>
    <w:lvlOverride w:ilvl="0">
      <w:startOverride w:val="5"/>
    </w:lvlOverride>
  </w:num>
  <w:num w:numId="18" w16cid:durableId="2006123169">
    <w:abstractNumId w:val="7"/>
  </w:num>
  <w:num w:numId="19" w16cid:durableId="1858885624">
    <w:abstractNumId w:val="28"/>
  </w:num>
  <w:num w:numId="20" w16cid:durableId="213081820">
    <w:abstractNumId w:val="13"/>
  </w:num>
  <w:num w:numId="21" w16cid:durableId="645285324">
    <w:abstractNumId w:val="20"/>
  </w:num>
  <w:num w:numId="22" w16cid:durableId="753212089">
    <w:abstractNumId w:val="25"/>
  </w:num>
  <w:num w:numId="23" w16cid:durableId="54203852">
    <w:abstractNumId w:val="9"/>
  </w:num>
  <w:num w:numId="24" w16cid:durableId="1180511258">
    <w:abstractNumId w:val="10"/>
  </w:num>
  <w:num w:numId="25" w16cid:durableId="1665741227">
    <w:abstractNumId w:val="0"/>
  </w:num>
  <w:num w:numId="26" w16cid:durableId="714737835">
    <w:abstractNumId w:val="1"/>
  </w:num>
  <w:num w:numId="27" w16cid:durableId="46537047">
    <w:abstractNumId w:val="23"/>
  </w:num>
  <w:num w:numId="28" w16cid:durableId="473376887">
    <w:abstractNumId w:val="6"/>
  </w:num>
  <w:num w:numId="29" w16cid:durableId="587153415">
    <w:abstractNumId w:val="22"/>
  </w:num>
  <w:num w:numId="30" w16cid:durableId="2131196776">
    <w:abstractNumId w:val="30"/>
  </w:num>
  <w:num w:numId="31" w16cid:durableId="90054045">
    <w:abstractNumId w:val="19"/>
  </w:num>
  <w:num w:numId="32" w16cid:durableId="1448574893">
    <w:abstractNumId w:val="26"/>
  </w:num>
  <w:num w:numId="33" w16cid:durableId="1756437190">
    <w:abstractNumId w:val="18"/>
  </w:num>
  <w:num w:numId="34" w16cid:durableId="1515610854">
    <w:abstractNumId w:val="14"/>
  </w:num>
  <w:num w:numId="35" w16cid:durableId="59059834">
    <w:abstractNumId w:val="26"/>
    <w:lvlOverride w:ilvl="0">
      <w:startOverride w:val="2"/>
    </w:lvlOverride>
  </w:num>
  <w:num w:numId="36" w16cid:durableId="1565136640">
    <w:abstractNumId w:val="26"/>
    <w:lvlOverride w:ilvl="0">
      <w:startOverride w:val="3"/>
    </w:lvlOverride>
  </w:num>
  <w:num w:numId="37" w16cid:durableId="1769809424">
    <w:abstractNumId w:val="26"/>
    <w:lvlOverride w:ilvl="0">
      <w:startOverride w:val="4"/>
    </w:lvlOverride>
  </w:num>
  <w:num w:numId="38" w16cid:durableId="1123498252">
    <w:abstractNumId w:val="24"/>
  </w:num>
  <w:num w:numId="39" w16cid:durableId="239173590">
    <w:abstractNumId w:val="26"/>
    <w:lvlOverride w:ilvl="0">
      <w:startOverride w:val="5"/>
    </w:lvlOverride>
  </w:num>
  <w:num w:numId="40" w16cid:durableId="1080371487">
    <w:abstractNumId w:val="12"/>
  </w:num>
  <w:num w:numId="41" w16cid:durableId="1339501910">
    <w:abstractNumId w:val="8"/>
  </w:num>
  <w:num w:numId="42" w16cid:durableId="1857658">
    <w:abstractNumId w:val="2"/>
  </w:num>
  <w:num w:numId="43" w16cid:durableId="65342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895"/>
    <w:rsid w:val="00020AF6"/>
    <w:rsid w:val="00021D8E"/>
    <w:rsid w:val="00042D70"/>
    <w:rsid w:val="00052B00"/>
    <w:rsid w:val="00082AAC"/>
    <w:rsid w:val="00084292"/>
    <w:rsid w:val="000932FA"/>
    <w:rsid w:val="00095755"/>
    <w:rsid w:val="000D46F7"/>
    <w:rsid w:val="000F4A8B"/>
    <w:rsid w:val="00103A4B"/>
    <w:rsid w:val="00105A1B"/>
    <w:rsid w:val="00123AA3"/>
    <w:rsid w:val="001410B0"/>
    <w:rsid w:val="00142BAF"/>
    <w:rsid w:val="00146F4E"/>
    <w:rsid w:val="0017409E"/>
    <w:rsid w:val="001822B6"/>
    <w:rsid w:val="001943C8"/>
    <w:rsid w:val="001A0D0F"/>
    <w:rsid w:val="001D2B9E"/>
    <w:rsid w:val="001E10F8"/>
    <w:rsid w:val="00214860"/>
    <w:rsid w:val="00215DAF"/>
    <w:rsid w:val="002558C9"/>
    <w:rsid w:val="00281A3E"/>
    <w:rsid w:val="002A0749"/>
    <w:rsid w:val="002A6C67"/>
    <w:rsid w:val="002C0235"/>
    <w:rsid w:val="002C386D"/>
    <w:rsid w:val="002D1C38"/>
    <w:rsid w:val="00302D19"/>
    <w:rsid w:val="003827A5"/>
    <w:rsid w:val="003A2B79"/>
    <w:rsid w:val="003C2A8E"/>
    <w:rsid w:val="00417F02"/>
    <w:rsid w:val="004256D0"/>
    <w:rsid w:val="004335AD"/>
    <w:rsid w:val="004346EC"/>
    <w:rsid w:val="00457A0B"/>
    <w:rsid w:val="00466FF9"/>
    <w:rsid w:val="004928CB"/>
    <w:rsid w:val="004E53C9"/>
    <w:rsid w:val="004E566D"/>
    <w:rsid w:val="004F3929"/>
    <w:rsid w:val="00536BD8"/>
    <w:rsid w:val="005813E9"/>
    <w:rsid w:val="005A6233"/>
    <w:rsid w:val="005B6D86"/>
    <w:rsid w:val="005D5CE2"/>
    <w:rsid w:val="005D5F6B"/>
    <w:rsid w:val="005F38DD"/>
    <w:rsid w:val="005F6DA4"/>
    <w:rsid w:val="00603DAD"/>
    <w:rsid w:val="00606B12"/>
    <w:rsid w:val="0061060E"/>
    <w:rsid w:val="00684526"/>
    <w:rsid w:val="0069431C"/>
    <w:rsid w:val="006D48E7"/>
    <w:rsid w:val="006E3D0D"/>
    <w:rsid w:val="006F714E"/>
    <w:rsid w:val="00743BB6"/>
    <w:rsid w:val="007452E3"/>
    <w:rsid w:val="00746709"/>
    <w:rsid w:val="0075724D"/>
    <w:rsid w:val="00791F92"/>
    <w:rsid w:val="007A43D6"/>
    <w:rsid w:val="007A6E08"/>
    <w:rsid w:val="007A74A8"/>
    <w:rsid w:val="007B0DFD"/>
    <w:rsid w:val="008526B0"/>
    <w:rsid w:val="0089461A"/>
    <w:rsid w:val="008948EA"/>
    <w:rsid w:val="008A789A"/>
    <w:rsid w:val="008B7BDB"/>
    <w:rsid w:val="008E4529"/>
    <w:rsid w:val="00912988"/>
    <w:rsid w:val="009173DF"/>
    <w:rsid w:val="009916DB"/>
    <w:rsid w:val="009943AD"/>
    <w:rsid w:val="009B0DF4"/>
    <w:rsid w:val="009F6C6F"/>
    <w:rsid w:val="00AB6813"/>
    <w:rsid w:val="00AD6291"/>
    <w:rsid w:val="00AE3C13"/>
    <w:rsid w:val="00B0271B"/>
    <w:rsid w:val="00B1545F"/>
    <w:rsid w:val="00B40594"/>
    <w:rsid w:val="00B66285"/>
    <w:rsid w:val="00B838E4"/>
    <w:rsid w:val="00B9338B"/>
    <w:rsid w:val="00BA0BA7"/>
    <w:rsid w:val="00BB5A16"/>
    <w:rsid w:val="00BC59DE"/>
    <w:rsid w:val="00BD68AB"/>
    <w:rsid w:val="00C07EFA"/>
    <w:rsid w:val="00CA5EFB"/>
    <w:rsid w:val="00CB2F1A"/>
    <w:rsid w:val="00CC4211"/>
    <w:rsid w:val="00D01FD6"/>
    <w:rsid w:val="00D07BDC"/>
    <w:rsid w:val="00D17025"/>
    <w:rsid w:val="00D20236"/>
    <w:rsid w:val="00D20E06"/>
    <w:rsid w:val="00D23A9A"/>
    <w:rsid w:val="00D270DF"/>
    <w:rsid w:val="00D277C9"/>
    <w:rsid w:val="00D35BE3"/>
    <w:rsid w:val="00D41513"/>
    <w:rsid w:val="00D53B4D"/>
    <w:rsid w:val="00D82215"/>
    <w:rsid w:val="00DA69A2"/>
    <w:rsid w:val="00DE1208"/>
    <w:rsid w:val="00DE17D8"/>
    <w:rsid w:val="00DF52DC"/>
    <w:rsid w:val="00E02907"/>
    <w:rsid w:val="00E06BD9"/>
    <w:rsid w:val="00E2144D"/>
    <w:rsid w:val="00E46642"/>
    <w:rsid w:val="00E652C1"/>
    <w:rsid w:val="00E713DC"/>
    <w:rsid w:val="00E805F1"/>
    <w:rsid w:val="00E82F34"/>
    <w:rsid w:val="00E93268"/>
    <w:rsid w:val="00EE1A1D"/>
    <w:rsid w:val="00EF1E5D"/>
    <w:rsid w:val="00F12B94"/>
    <w:rsid w:val="00F3510C"/>
    <w:rsid w:val="00F64055"/>
    <w:rsid w:val="00FB0AA2"/>
    <w:rsid w:val="00FC3B8C"/>
    <w:rsid w:val="00FE1D85"/>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 w:type="table" w:styleId="TableGrid">
    <w:name w:val="Table Grid"/>
    <w:basedOn w:val="TableNormal"/>
    <w:uiPriority w:val="39"/>
    <w:rsid w:val="00BB5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746709"/>
    <w:pPr>
      <w:spacing w:after="120" w:line="240" w:lineRule="auto"/>
      <w:jc w:val="both"/>
    </w:pPr>
    <w:rPr>
      <w:rFonts w:ascii="Calibri" w:eastAsia="Calibri" w:hAnsi="Calibri" w:cs="Calibri"/>
      <w:color w:val="000000"/>
      <w:u w:color="000000"/>
    </w:rPr>
  </w:style>
  <w:style w:type="paragraph" w:styleId="Revision">
    <w:name w:val="Revision"/>
    <w:hidden/>
    <w:uiPriority w:val="99"/>
    <w:semiHidden/>
    <w:rsid w:val="001E10F8"/>
    <w:pPr>
      <w:spacing w:after="0" w:line="240" w:lineRule="auto"/>
    </w:pPr>
  </w:style>
  <w:style w:type="paragraph" w:styleId="NoSpacing">
    <w:name w:val="No Spacing"/>
    <w:rsid w:val="00103A4B"/>
    <w:pPr>
      <w:pBdr>
        <w:top w:val="nil"/>
        <w:left w:val="nil"/>
        <w:bottom w:val="nil"/>
        <w:right w:val="nil"/>
        <w:between w:val="nil"/>
        <w:bar w:val="nil"/>
      </w:pBdr>
      <w:spacing w:after="120" w:line="240" w:lineRule="auto"/>
      <w:jc w:val="both"/>
    </w:pPr>
    <w:rPr>
      <w:rFonts w:ascii="Calibri" w:eastAsia="Calibri" w:hAnsi="Calibri" w:cs="Calibri"/>
      <w:color w:val="000000"/>
      <w:u w:color="000000"/>
      <w:bdr w:val="nil"/>
      <w:lang w:eastAsia="en-GB"/>
    </w:rPr>
  </w:style>
  <w:style w:type="numbering" w:customStyle="1" w:styleId="ImportedStyle1">
    <w:name w:val="Imported Style 1"/>
    <w:rsid w:val="00103A4B"/>
    <w:pPr>
      <w:numPr>
        <w:numId w:val="31"/>
      </w:numPr>
    </w:pPr>
  </w:style>
  <w:style w:type="numbering" w:customStyle="1" w:styleId="ImportedStyle2">
    <w:name w:val="Imported Style 2"/>
    <w:rsid w:val="00103A4B"/>
    <w:pPr>
      <w:numPr>
        <w:numId w:val="33"/>
      </w:numPr>
    </w:pPr>
  </w:style>
  <w:style w:type="numbering" w:customStyle="1" w:styleId="ImportedStyle4">
    <w:name w:val="Imported Style 4"/>
    <w:rsid w:val="00103A4B"/>
    <w:pPr>
      <w:numPr>
        <w:numId w:val="38"/>
      </w:numPr>
    </w:pPr>
  </w:style>
  <w:style w:type="numbering" w:customStyle="1" w:styleId="ImportedStyle5">
    <w:name w:val="Imported Style 5"/>
    <w:rsid w:val="00103A4B"/>
    <w:pPr>
      <w:numPr>
        <w:numId w:val="40"/>
      </w:numPr>
    </w:pPr>
  </w:style>
  <w:style w:type="character" w:styleId="FootnoteReference">
    <w:name w:val="footnote reference"/>
    <w:aliases w:val="ftref,Footnote Reference Number,16 Point,Superscript 6 Point,footnote ref, BVI fnr,BVI fnr,referencia nota al pie,Nota de pie,Ref,de nota al pie,Footnote symbol,Appel note de bas de p,Appel note de bas de p + (Asian) Batang,Black"/>
    <w:basedOn w:val="DefaultParagraphFont"/>
    <w:unhideWhenUsed/>
    <w:qFormat/>
    <w:rsid w:val="00103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8331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B290-BC6B-4A82-A08E-81069C7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1201</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6</cp:revision>
  <cp:lastPrinted>2018-12-19T10:34:00Z</cp:lastPrinted>
  <dcterms:created xsi:type="dcterms:W3CDTF">2022-04-06T09:44:00Z</dcterms:created>
  <dcterms:modified xsi:type="dcterms:W3CDTF">2022-04-06T10:06:00Z</dcterms:modified>
</cp:coreProperties>
</file>