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1E0" w:firstRow="1" w:lastRow="1" w:firstColumn="1" w:lastColumn="1" w:noHBand="0" w:noVBand="0"/>
      </w:tblPr>
      <w:tblGrid>
        <w:gridCol w:w="2947"/>
        <w:gridCol w:w="6409"/>
      </w:tblGrid>
      <w:tr w:rsidR="00D90C46" w:rsidRPr="00172430" w14:paraId="2A2409EA" w14:textId="77777777" w:rsidTr="00B04EBB">
        <w:tc>
          <w:tcPr>
            <w:tcW w:w="9356" w:type="dxa"/>
            <w:gridSpan w:val="2"/>
          </w:tcPr>
          <w:p w14:paraId="4BDE4C5B" w14:textId="38509296" w:rsidR="00D90C46" w:rsidRPr="00172430" w:rsidRDefault="00D90C46" w:rsidP="00B105C3">
            <w:pPr>
              <w:spacing w:before="120" w:after="120" w:line="240" w:lineRule="auto"/>
              <w:jc w:val="both"/>
              <w:rPr>
                <w:b/>
                <w:bCs/>
                <w:lang w:val="en-GB"/>
              </w:rPr>
            </w:pPr>
            <w:r w:rsidRPr="00172430">
              <w:rPr>
                <w:rFonts w:ascii="Arial" w:eastAsia="Times New Roman" w:hAnsi="Arial" w:cs="Arial"/>
                <w:b/>
                <w:bCs/>
                <w:color w:val="323132"/>
                <w:sz w:val="20"/>
                <w:szCs w:val="20"/>
                <w:lang w:val="en-GB" w:eastAsia="x-none"/>
              </w:rPr>
              <w:t>Non-Key Expert Terms of Reference</w:t>
            </w:r>
          </w:p>
        </w:tc>
      </w:tr>
      <w:tr w:rsidR="00EA767B" w:rsidRPr="00172430" w14:paraId="25C897FD" w14:textId="77777777" w:rsidTr="00B04EBB">
        <w:tc>
          <w:tcPr>
            <w:tcW w:w="2947" w:type="dxa"/>
          </w:tcPr>
          <w:p w14:paraId="75C333E6" w14:textId="1C8E7162" w:rsidR="00EA767B" w:rsidRPr="00172430" w:rsidRDefault="00EA767B"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Project Title:</w:t>
            </w:r>
          </w:p>
        </w:tc>
        <w:tc>
          <w:tcPr>
            <w:tcW w:w="6409" w:type="dxa"/>
          </w:tcPr>
          <w:p w14:paraId="5CAAF6BD" w14:textId="5171EF5A" w:rsidR="00EA767B" w:rsidRPr="00172430" w:rsidRDefault="00EA767B"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EU Project Preparation Facility 6</w:t>
            </w:r>
          </w:p>
        </w:tc>
      </w:tr>
      <w:tr w:rsidR="00EA767B" w:rsidRPr="00172430" w14:paraId="7FADEB51" w14:textId="77777777" w:rsidTr="00B04EBB">
        <w:tc>
          <w:tcPr>
            <w:tcW w:w="2947" w:type="dxa"/>
          </w:tcPr>
          <w:p w14:paraId="5346A24E" w14:textId="09DC804C" w:rsidR="00EA767B" w:rsidRPr="00172430" w:rsidRDefault="00EA767B"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Service Contract Number:</w:t>
            </w:r>
          </w:p>
        </w:tc>
        <w:tc>
          <w:tcPr>
            <w:tcW w:w="6409" w:type="dxa"/>
          </w:tcPr>
          <w:p w14:paraId="57CD727C" w14:textId="47BC2B89" w:rsidR="00EA767B" w:rsidRPr="00172430" w:rsidRDefault="00EA767B"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48-00-145/2014/28</w:t>
            </w:r>
          </w:p>
        </w:tc>
      </w:tr>
      <w:tr w:rsidR="00EA767B" w:rsidRPr="00172430" w14:paraId="69C689FB" w14:textId="77777777" w:rsidTr="00B04EBB">
        <w:tc>
          <w:tcPr>
            <w:tcW w:w="2947" w:type="dxa"/>
          </w:tcPr>
          <w:p w14:paraId="79569C41" w14:textId="7056C1BB" w:rsidR="00EA767B" w:rsidRPr="00172430" w:rsidRDefault="00754C88"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Identification number:</w:t>
            </w:r>
            <w:r w:rsidR="00EA767B" w:rsidRPr="00172430">
              <w:rPr>
                <w:rFonts w:ascii="Arial" w:eastAsia="Times New Roman" w:hAnsi="Arial" w:cs="Arial"/>
                <w:color w:val="323132"/>
                <w:sz w:val="20"/>
                <w:szCs w:val="20"/>
                <w:lang w:val="en-GB"/>
              </w:rPr>
              <w:t xml:space="preserve"> </w:t>
            </w:r>
          </w:p>
        </w:tc>
        <w:tc>
          <w:tcPr>
            <w:tcW w:w="6409" w:type="dxa"/>
          </w:tcPr>
          <w:p w14:paraId="0AB55690" w14:textId="653E18C7" w:rsidR="00EA767B" w:rsidRPr="00172430" w:rsidRDefault="00EA767B"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EUROPEAID/135637/IH/SER/RS</w:t>
            </w:r>
          </w:p>
        </w:tc>
      </w:tr>
      <w:tr w:rsidR="00EA767B" w:rsidRPr="00172430" w14:paraId="1ED50E96" w14:textId="77777777" w:rsidTr="00B04EBB">
        <w:tc>
          <w:tcPr>
            <w:tcW w:w="2947" w:type="dxa"/>
          </w:tcPr>
          <w:p w14:paraId="255B53B7" w14:textId="2BC5F10A" w:rsidR="00EA767B" w:rsidRPr="00172430" w:rsidRDefault="00EA767B"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Contracting Authority:</w:t>
            </w:r>
          </w:p>
        </w:tc>
        <w:tc>
          <w:tcPr>
            <w:tcW w:w="6409" w:type="dxa"/>
          </w:tcPr>
          <w:p w14:paraId="31A75BA5" w14:textId="77777777" w:rsidR="00EA767B" w:rsidRPr="00172430" w:rsidRDefault="00EA767B"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172430" w:rsidRDefault="00EA767B"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172430" w14:paraId="4465087F" w14:textId="77777777" w:rsidTr="00B04EBB">
        <w:tc>
          <w:tcPr>
            <w:tcW w:w="2947" w:type="dxa"/>
          </w:tcPr>
          <w:p w14:paraId="2D11E821" w14:textId="6E034298" w:rsidR="00EA767B" w:rsidRPr="00172430" w:rsidRDefault="00EA767B"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Key Beneficiary:</w:t>
            </w:r>
          </w:p>
        </w:tc>
        <w:tc>
          <w:tcPr>
            <w:tcW w:w="6409" w:type="dxa"/>
          </w:tcPr>
          <w:p w14:paraId="2302FB07" w14:textId="7BA8D2CF" w:rsidR="00EA767B" w:rsidRPr="00172430" w:rsidRDefault="00EA767B"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Ministry of European Integration</w:t>
            </w:r>
          </w:p>
        </w:tc>
      </w:tr>
      <w:tr w:rsidR="00754C88" w:rsidRPr="00172430" w14:paraId="081FDECE" w14:textId="77777777" w:rsidTr="00AC51C6">
        <w:trPr>
          <w:trHeight w:val="516"/>
        </w:trPr>
        <w:tc>
          <w:tcPr>
            <w:tcW w:w="2947" w:type="dxa"/>
          </w:tcPr>
          <w:p w14:paraId="545CEB17" w14:textId="77B365AD" w:rsidR="00754C88" w:rsidRPr="00172430" w:rsidRDefault="00754C88" w:rsidP="00B105C3">
            <w:pPr>
              <w:spacing w:before="120" w:after="120" w:line="240" w:lineRule="auto"/>
              <w:jc w:val="both"/>
              <w:rPr>
                <w:rFonts w:ascii="Arial" w:eastAsia="Times New Roman" w:hAnsi="Arial" w:cs="Arial"/>
                <w:b/>
                <w:color w:val="323132"/>
                <w:sz w:val="20"/>
                <w:szCs w:val="20"/>
                <w:lang w:val="en-GB"/>
              </w:rPr>
            </w:pPr>
            <w:r w:rsidRPr="00172430">
              <w:rPr>
                <w:rFonts w:ascii="Arial" w:eastAsia="Times New Roman" w:hAnsi="Arial" w:cs="Arial"/>
                <w:b/>
                <w:color w:val="323132"/>
                <w:sz w:val="20"/>
                <w:szCs w:val="20"/>
                <w:lang w:val="en-GB"/>
              </w:rPr>
              <w:t>Vacanc</w:t>
            </w:r>
            <w:r w:rsidR="00893661" w:rsidRPr="00172430">
              <w:rPr>
                <w:rFonts w:ascii="Arial" w:eastAsia="Times New Roman" w:hAnsi="Arial" w:cs="Arial"/>
                <w:b/>
                <w:color w:val="323132"/>
                <w:sz w:val="20"/>
                <w:szCs w:val="20"/>
                <w:lang w:val="en-GB"/>
              </w:rPr>
              <w:t>y</w:t>
            </w:r>
            <w:r w:rsidRPr="00172430">
              <w:rPr>
                <w:rFonts w:ascii="Arial" w:eastAsia="Times New Roman" w:hAnsi="Arial" w:cs="Arial"/>
                <w:b/>
                <w:color w:val="323132"/>
                <w:sz w:val="20"/>
                <w:szCs w:val="20"/>
                <w:lang w:val="en-GB"/>
              </w:rPr>
              <w:t>:</w:t>
            </w:r>
          </w:p>
        </w:tc>
        <w:tc>
          <w:tcPr>
            <w:tcW w:w="6409" w:type="dxa"/>
          </w:tcPr>
          <w:p w14:paraId="0BB3B47D" w14:textId="5B8EB5D5" w:rsidR="007731E5" w:rsidRPr="00172430" w:rsidRDefault="00172430"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Hydro</w:t>
            </w:r>
            <w:r w:rsidR="004D7E4F">
              <w:rPr>
                <w:rFonts w:ascii="Arial" w:eastAsia="Times New Roman" w:hAnsi="Arial" w:cs="Arial"/>
                <w:color w:val="323132"/>
                <w:sz w:val="20"/>
                <w:szCs w:val="20"/>
                <w:lang w:val="en-GB" w:eastAsia="x-none"/>
              </w:rPr>
              <w:t>geo</w:t>
            </w:r>
            <w:r w:rsidRPr="00172430">
              <w:rPr>
                <w:rFonts w:ascii="Arial" w:eastAsia="Times New Roman" w:hAnsi="Arial" w:cs="Arial"/>
                <w:color w:val="323132"/>
                <w:sz w:val="20"/>
                <w:szCs w:val="20"/>
                <w:lang w:val="en-GB" w:eastAsia="x-none"/>
              </w:rPr>
              <w:t>logist</w:t>
            </w:r>
          </w:p>
        </w:tc>
      </w:tr>
      <w:tr w:rsidR="00754C88" w:rsidRPr="00172430" w14:paraId="5D0C8246" w14:textId="77777777" w:rsidTr="00B04EBB">
        <w:tc>
          <w:tcPr>
            <w:tcW w:w="2947" w:type="dxa"/>
          </w:tcPr>
          <w:p w14:paraId="49B32B93" w14:textId="2B953930" w:rsidR="00754C88" w:rsidRPr="00172430" w:rsidRDefault="00754C88"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Category:</w:t>
            </w:r>
          </w:p>
        </w:tc>
        <w:tc>
          <w:tcPr>
            <w:tcW w:w="6409" w:type="dxa"/>
          </w:tcPr>
          <w:p w14:paraId="799B7CB7" w14:textId="12DF481D" w:rsidR="00754C88" w:rsidRPr="00172430" w:rsidRDefault="00754C88"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Senior Non-Key Expert</w:t>
            </w:r>
          </w:p>
        </w:tc>
      </w:tr>
      <w:tr w:rsidR="00754C88" w:rsidRPr="00172430" w14:paraId="237825A4" w14:textId="77777777" w:rsidTr="00B04EBB">
        <w:tc>
          <w:tcPr>
            <w:tcW w:w="2947" w:type="dxa"/>
          </w:tcPr>
          <w:p w14:paraId="4A01EC62" w14:textId="53042F33" w:rsidR="00754C88" w:rsidRPr="00172430" w:rsidRDefault="00754C88"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Duration of the assignment:</w:t>
            </w:r>
          </w:p>
        </w:tc>
        <w:tc>
          <w:tcPr>
            <w:tcW w:w="6409" w:type="dxa"/>
          </w:tcPr>
          <w:p w14:paraId="46D639E7" w14:textId="0A3603DE" w:rsidR="00754C88" w:rsidRPr="00172430" w:rsidRDefault="0079722E" w:rsidP="00B105C3">
            <w:pPr>
              <w:spacing w:before="120" w:after="120" w:line="240" w:lineRule="auto"/>
              <w:jc w:val="both"/>
              <w:rPr>
                <w:rFonts w:ascii="Arial" w:eastAsia="Times New Roman" w:hAnsi="Arial" w:cs="Arial"/>
                <w:color w:val="323132"/>
                <w:sz w:val="20"/>
                <w:szCs w:val="20"/>
                <w:lang w:val="en-GB" w:eastAsia="x-none"/>
              </w:rPr>
            </w:pPr>
            <w:r>
              <w:rPr>
                <w:rFonts w:ascii="Arial" w:eastAsia="Times New Roman" w:hAnsi="Arial" w:cs="Arial"/>
                <w:color w:val="323132"/>
                <w:sz w:val="20"/>
                <w:szCs w:val="20"/>
                <w:lang w:val="en-GB" w:eastAsia="x-none"/>
              </w:rPr>
              <w:t>60</w:t>
            </w:r>
            <w:r w:rsidR="008346DF" w:rsidRPr="00172430">
              <w:rPr>
                <w:rFonts w:ascii="Arial" w:eastAsia="Times New Roman" w:hAnsi="Arial" w:cs="Arial"/>
                <w:color w:val="323132"/>
                <w:sz w:val="20"/>
                <w:szCs w:val="20"/>
                <w:lang w:val="en-GB" w:eastAsia="x-none"/>
              </w:rPr>
              <w:t xml:space="preserve"> </w:t>
            </w:r>
            <w:r w:rsidR="00AC51C6" w:rsidRPr="00172430">
              <w:rPr>
                <w:rFonts w:ascii="Arial" w:eastAsia="Times New Roman" w:hAnsi="Arial" w:cs="Arial"/>
                <w:color w:val="323132"/>
                <w:sz w:val="20"/>
                <w:szCs w:val="20"/>
                <w:lang w:val="en-GB" w:eastAsia="x-none"/>
              </w:rPr>
              <w:t xml:space="preserve">days  </w:t>
            </w:r>
          </w:p>
        </w:tc>
      </w:tr>
      <w:tr w:rsidR="00754C88" w:rsidRPr="00172430" w14:paraId="15130E3A" w14:textId="77777777" w:rsidTr="00B04EBB">
        <w:tc>
          <w:tcPr>
            <w:tcW w:w="2947" w:type="dxa"/>
          </w:tcPr>
          <w:p w14:paraId="21D21D56" w14:textId="54561CA3" w:rsidR="00754C88" w:rsidRPr="00172430" w:rsidRDefault="00754C88"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Period of the assignment:</w:t>
            </w:r>
          </w:p>
        </w:tc>
        <w:tc>
          <w:tcPr>
            <w:tcW w:w="6409" w:type="dxa"/>
          </w:tcPr>
          <w:p w14:paraId="14BC40EA" w14:textId="657FDA57" w:rsidR="00754C88" w:rsidRPr="00172430" w:rsidRDefault="006E711F"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rPr>
              <w:t xml:space="preserve">Inputs will be provided </w:t>
            </w:r>
            <w:r w:rsidR="007F5068" w:rsidRPr="00172430">
              <w:rPr>
                <w:rFonts w:ascii="Arial" w:eastAsia="Times New Roman" w:hAnsi="Arial" w:cs="Arial"/>
                <w:color w:val="323132"/>
                <w:sz w:val="20"/>
                <w:szCs w:val="20"/>
                <w:lang w:val="en-GB"/>
              </w:rPr>
              <w:t>from</w:t>
            </w:r>
            <w:r w:rsidR="00172430" w:rsidRPr="00172430">
              <w:rPr>
                <w:rFonts w:ascii="Arial" w:eastAsia="Times New Roman" w:hAnsi="Arial" w:cs="Arial"/>
                <w:color w:val="323132"/>
                <w:sz w:val="20"/>
                <w:szCs w:val="20"/>
                <w:lang w:val="en-GB"/>
              </w:rPr>
              <w:t xml:space="preserve"> </w:t>
            </w:r>
            <w:r w:rsidR="00D00670">
              <w:rPr>
                <w:rFonts w:ascii="Arial" w:eastAsia="Times New Roman" w:hAnsi="Arial" w:cs="Arial"/>
                <w:color w:val="323132"/>
                <w:sz w:val="20"/>
                <w:szCs w:val="20"/>
                <w:lang w:val="en-GB"/>
              </w:rPr>
              <w:t>December</w:t>
            </w:r>
            <w:r w:rsidR="004D7E4F">
              <w:rPr>
                <w:rFonts w:ascii="Arial" w:eastAsia="Times New Roman" w:hAnsi="Arial" w:cs="Arial"/>
                <w:color w:val="323132"/>
                <w:sz w:val="20"/>
                <w:szCs w:val="20"/>
                <w:lang w:val="en-GB"/>
              </w:rPr>
              <w:t xml:space="preserve"> </w:t>
            </w:r>
            <w:r w:rsidR="00172430" w:rsidRPr="00172430">
              <w:rPr>
                <w:rFonts w:ascii="Arial" w:eastAsia="Times New Roman" w:hAnsi="Arial" w:cs="Arial"/>
                <w:color w:val="323132"/>
                <w:sz w:val="20"/>
                <w:szCs w:val="20"/>
                <w:lang w:val="en-GB"/>
              </w:rPr>
              <w:t>202</w:t>
            </w:r>
            <w:r w:rsidR="00D00670">
              <w:rPr>
                <w:rFonts w:ascii="Arial" w:eastAsia="Times New Roman" w:hAnsi="Arial" w:cs="Arial"/>
                <w:color w:val="323132"/>
                <w:sz w:val="20"/>
                <w:szCs w:val="20"/>
                <w:lang w:val="en-GB"/>
              </w:rPr>
              <w:t>2</w:t>
            </w:r>
            <w:r w:rsidR="00172430" w:rsidRPr="00172430">
              <w:rPr>
                <w:rFonts w:ascii="Arial" w:eastAsia="Times New Roman" w:hAnsi="Arial" w:cs="Arial"/>
                <w:color w:val="323132"/>
                <w:sz w:val="20"/>
                <w:szCs w:val="20"/>
                <w:lang w:val="en-GB"/>
              </w:rPr>
              <w:t xml:space="preserve"> to</w:t>
            </w:r>
            <w:r w:rsidR="0079722E">
              <w:rPr>
                <w:rFonts w:ascii="Arial" w:eastAsia="Times New Roman" w:hAnsi="Arial" w:cs="Arial"/>
                <w:color w:val="323132"/>
                <w:sz w:val="20"/>
                <w:szCs w:val="20"/>
                <w:lang w:val="en-GB"/>
              </w:rPr>
              <w:t xml:space="preserve"> August</w:t>
            </w:r>
            <w:r w:rsidR="00172430" w:rsidRPr="00172430">
              <w:rPr>
                <w:rFonts w:ascii="Arial" w:eastAsia="Times New Roman" w:hAnsi="Arial" w:cs="Arial"/>
                <w:color w:val="323132"/>
                <w:sz w:val="20"/>
                <w:szCs w:val="20"/>
                <w:lang w:val="en-GB"/>
              </w:rPr>
              <w:t xml:space="preserve"> 202</w:t>
            </w:r>
            <w:r w:rsidR="0079722E">
              <w:rPr>
                <w:rFonts w:ascii="Arial" w:eastAsia="Times New Roman" w:hAnsi="Arial" w:cs="Arial"/>
                <w:color w:val="323132"/>
                <w:sz w:val="20"/>
                <w:szCs w:val="20"/>
                <w:lang w:val="en-GB"/>
              </w:rPr>
              <w:t>3</w:t>
            </w:r>
          </w:p>
        </w:tc>
      </w:tr>
      <w:tr w:rsidR="007F5068" w:rsidRPr="00172430" w14:paraId="0982E1DE" w14:textId="77777777" w:rsidTr="00B04EBB">
        <w:tc>
          <w:tcPr>
            <w:tcW w:w="2947" w:type="dxa"/>
          </w:tcPr>
          <w:p w14:paraId="4CF100EF" w14:textId="2DD9185B" w:rsidR="007F5068" w:rsidRPr="00172430" w:rsidRDefault="007F5068"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Location:</w:t>
            </w:r>
          </w:p>
        </w:tc>
        <w:tc>
          <w:tcPr>
            <w:tcW w:w="6409" w:type="dxa"/>
          </w:tcPr>
          <w:p w14:paraId="54BD9ED3" w14:textId="05F3CDD1" w:rsidR="007F5068" w:rsidRPr="00172430" w:rsidRDefault="007F5068"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hAnsi="Arial" w:cs="Arial"/>
                <w:color w:val="323132"/>
                <w:sz w:val="20"/>
                <w:szCs w:val="20"/>
              </w:rPr>
              <w:t>The base of operations will be Belgrade. The office facilities will be provided by the Consortium. Travels to the service area of Kolubara regional water supply system (KRWSS) will be necessary during the assignment. The cost of these travels and accommodation shall be covered by the incidentals.</w:t>
            </w:r>
          </w:p>
        </w:tc>
      </w:tr>
      <w:tr w:rsidR="007F5068" w:rsidRPr="00172430" w14:paraId="56E0CCAD" w14:textId="77777777" w:rsidTr="00B04EBB">
        <w:tc>
          <w:tcPr>
            <w:tcW w:w="9356" w:type="dxa"/>
            <w:gridSpan w:val="2"/>
          </w:tcPr>
          <w:p w14:paraId="24C2D6F8" w14:textId="194E561C" w:rsidR="007F5068" w:rsidRPr="00172430" w:rsidRDefault="00B105C3" w:rsidP="00B105C3">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PPF6 - </w:t>
            </w:r>
            <w:r w:rsidR="007F5068" w:rsidRPr="00172430">
              <w:rPr>
                <w:rFonts w:ascii="Arial" w:eastAsia="Times New Roman" w:hAnsi="Arial" w:cs="Arial"/>
                <w:b/>
                <w:color w:val="323132"/>
                <w:sz w:val="20"/>
                <w:szCs w:val="20"/>
                <w:lang w:val="en-GB"/>
              </w:rPr>
              <w:t xml:space="preserve">Project </w:t>
            </w:r>
            <w:r>
              <w:rPr>
                <w:rFonts w:ascii="Arial" w:eastAsia="Times New Roman" w:hAnsi="Arial" w:cs="Arial"/>
                <w:b/>
                <w:color w:val="323132"/>
                <w:sz w:val="20"/>
                <w:szCs w:val="20"/>
                <w:lang w:val="en-GB"/>
              </w:rPr>
              <w:t>b</w:t>
            </w:r>
            <w:r w:rsidR="007F5068" w:rsidRPr="00172430">
              <w:rPr>
                <w:rFonts w:ascii="Arial" w:eastAsia="Times New Roman" w:hAnsi="Arial" w:cs="Arial"/>
                <w:b/>
                <w:color w:val="323132"/>
                <w:sz w:val="20"/>
                <w:szCs w:val="20"/>
                <w:lang w:val="en-GB"/>
              </w:rPr>
              <w:t>ackground and expected results</w:t>
            </w:r>
          </w:p>
          <w:p w14:paraId="4F0A665D" w14:textId="2A1C8FBC" w:rsidR="007F5068" w:rsidRPr="00172430" w:rsidRDefault="007F5068"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The purpose of this Contract is to strengthen technical and administrative capacity of the Serbian administration in relation to the European Integration process and enhance effective and efficient management and absorption of EU pre-accession funds, with the special emphasis on development and preparation of energy and environment infrastructure projects.</w:t>
            </w:r>
          </w:p>
          <w:p w14:paraId="5D05E24D" w14:textId="149D2DFD" w:rsidR="007F5068" w:rsidRPr="00172430" w:rsidRDefault="007F5068" w:rsidP="00B105C3">
            <w:pPr>
              <w:spacing w:before="120" w:after="120" w:line="240" w:lineRule="auto"/>
              <w:jc w:val="both"/>
              <w:rPr>
                <w:rFonts w:ascii="Arial" w:eastAsia="Times New Roman" w:hAnsi="Arial" w:cs="Arial"/>
                <w:color w:val="323132"/>
                <w:sz w:val="20"/>
                <w:szCs w:val="20"/>
                <w:lang w:val="en-GB" w:eastAsia="x-none"/>
              </w:rPr>
            </w:pPr>
            <w:r w:rsidRPr="00172430">
              <w:rPr>
                <w:rFonts w:ascii="Arial" w:eastAsia="Times New Roman" w:hAnsi="Arial" w:cs="Arial"/>
                <w:color w:val="323132"/>
                <w:sz w:val="20"/>
                <w:szCs w:val="20"/>
                <w:lang w:val="en-GB" w:eastAsia="x-none"/>
              </w:rPr>
              <w:t>Results and outputs to be achieved:</w:t>
            </w:r>
          </w:p>
          <w:p w14:paraId="45C78455" w14:textId="77777777" w:rsidR="007F5068" w:rsidRPr="00172430" w:rsidRDefault="007F5068" w:rsidP="00B105C3">
            <w:pPr>
              <w:autoSpaceDE w:val="0"/>
              <w:autoSpaceDN w:val="0"/>
              <w:adjustRightInd w:val="0"/>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b/>
                <w:color w:val="323132"/>
                <w:sz w:val="20"/>
                <w:szCs w:val="20"/>
                <w:lang w:val="en-GB"/>
              </w:rPr>
              <w:t>Result 1:</w:t>
            </w:r>
            <w:r w:rsidRPr="00172430">
              <w:rPr>
                <w:rFonts w:ascii="Arial" w:eastAsia="Times New Roman" w:hAnsi="Arial" w:cs="Arial"/>
                <w:color w:val="323132"/>
                <w:sz w:val="20"/>
                <w:szCs w:val="20"/>
                <w:lang w:val="en-GB"/>
              </w:rPr>
              <w:t xml:space="preserve"> Priority investment projects in energy and environmental sectors prepared for implementation</w:t>
            </w:r>
          </w:p>
          <w:p w14:paraId="122C7AFC" w14:textId="77777777" w:rsidR="007F5068" w:rsidRPr="00172430" w:rsidRDefault="007F5068"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b/>
                <w:color w:val="323132"/>
                <w:sz w:val="20"/>
                <w:szCs w:val="20"/>
                <w:lang w:val="en-GB"/>
              </w:rPr>
              <w:t>Output:</w:t>
            </w:r>
            <w:r w:rsidRPr="00172430">
              <w:rPr>
                <w:rFonts w:ascii="Arial" w:eastAsia="Times New Roman" w:hAnsi="Arial" w:cs="Arial"/>
                <w:color w:val="323132"/>
                <w:sz w:val="20"/>
                <w:szCs w:val="20"/>
                <w:lang w:val="en-GB"/>
              </w:rPr>
              <w:t xml:space="preserve"> Technical documentation for infrastructure projects from energy and environment sectors to be financed under IPA 2014-2020 programming period prepared in accordance with the Serbian legal requirements and EU standards and norms, and ready for implementation. </w:t>
            </w:r>
          </w:p>
          <w:p w14:paraId="4F76E1AC" w14:textId="77777777" w:rsidR="007F5068" w:rsidRPr="00172430" w:rsidRDefault="007F5068" w:rsidP="00B105C3">
            <w:pPr>
              <w:autoSpaceDE w:val="0"/>
              <w:autoSpaceDN w:val="0"/>
              <w:adjustRightInd w:val="0"/>
              <w:spacing w:before="120" w:after="120" w:line="240" w:lineRule="auto"/>
              <w:jc w:val="both"/>
              <w:rPr>
                <w:rFonts w:ascii="Arial" w:eastAsia="Times New Roman" w:hAnsi="Arial" w:cs="Arial"/>
                <w:b/>
                <w:bCs/>
                <w:color w:val="323132"/>
                <w:sz w:val="20"/>
                <w:szCs w:val="20"/>
                <w:lang w:val="en-GB"/>
              </w:rPr>
            </w:pPr>
            <w:r w:rsidRPr="00172430">
              <w:rPr>
                <w:rFonts w:ascii="Arial" w:eastAsia="Times New Roman" w:hAnsi="Arial" w:cs="Arial"/>
                <w:b/>
                <w:bCs/>
                <w:color w:val="323132"/>
                <w:sz w:val="20"/>
                <w:szCs w:val="20"/>
                <w:lang w:val="en-GB"/>
              </w:rPr>
              <w:t xml:space="preserve">Result 2: </w:t>
            </w:r>
            <w:r w:rsidRPr="00172430">
              <w:rPr>
                <w:rFonts w:ascii="Arial" w:eastAsia="Times New Roman" w:hAnsi="Arial" w:cs="Arial"/>
                <w:bCs/>
                <w:color w:val="323132"/>
                <w:sz w:val="20"/>
                <w:szCs w:val="20"/>
                <w:lang w:val="en-GB"/>
              </w:rPr>
              <w:t>Relevant national and local institution staff dealing with preparation of technical documentation in energy and environment sectors is properly trained.</w:t>
            </w:r>
            <w:r w:rsidRPr="00172430">
              <w:rPr>
                <w:rFonts w:ascii="Arial" w:eastAsia="Times New Roman" w:hAnsi="Arial" w:cs="Arial"/>
                <w:b/>
                <w:bCs/>
                <w:color w:val="323132"/>
                <w:sz w:val="20"/>
                <w:szCs w:val="20"/>
                <w:lang w:val="en-GB"/>
              </w:rPr>
              <w:t xml:space="preserve"> </w:t>
            </w:r>
          </w:p>
          <w:p w14:paraId="1550C6A1" w14:textId="5931BD1D" w:rsidR="007F5068" w:rsidRPr="00B105C3" w:rsidRDefault="007F5068" w:rsidP="00B105C3">
            <w:pPr>
              <w:spacing w:before="120" w:after="120" w:line="240" w:lineRule="auto"/>
              <w:jc w:val="both"/>
              <w:rPr>
                <w:rFonts w:ascii="Arial" w:eastAsia="Times New Roman" w:hAnsi="Arial" w:cs="Arial"/>
                <w:bCs/>
                <w:color w:val="323132"/>
                <w:sz w:val="20"/>
                <w:szCs w:val="20"/>
                <w:lang w:val="en-GB"/>
              </w:rPr>
            </w:pPr>
            <w:r w:rsidRPr="00172430">
              <w:rPr>
                <w:rFonts w:ascii="Arial" w:eastAsia="Times New Roman" w:hAnsi="Arial" w:cs="Arial"/>
                <w:b/>
                <w:color w:val="323132"/>
                <w:sz w:val="20"/>
                <w:szCs w:val="20"/>
                <w:lang w:val="en-GB"/>
              </w:rPr>
              <w:t>Output:</w:t>
            </w:r>
            <w:r w:rsidRPr="00172430">
              <w:rPr>
                <w:rFonts w:ascii="Arial" w:eastAsia="Times New Roman" w:hAnsi="Arial" w:cs="Arial"/>
                <w:b/>
                <w:bCs/>
                <w:color w:val="323132"/>
                <w:sz w:val="20"/>
                <w:szCs w:val="20"/>
                <w:lang w:val="en-GB"/>
              </w:rPr>
              <w:t xml:space="preserve"> </w:t>
            </w:r>
            <w:r w:rsidRPr="00172430">
              <w:rPr>
                <w:rFonts w:ascii="Arial" w:eastAsia="Times New Roman" w:hAnsi="Arial" w:cs="Arial"/>
                <w:bCs/>
                <w:color w:val="323132"/>
                <w:sz w:val="20"/>
                <w:szCs w:val="20"/>
                <w:lang w:val="en-GB"/>
              </w:rPr>
              <w:t>Training courses encompassing main principles related of preparation of technical documentation in energy and environment sectors, prepared and delivered to the main stakeholders in energy and environment sectors.</w:t>
            </w:r>
          </w:p>
        </w:tc>
      </w:tr>
      <w:tr w:rsidR="007F5068" w:rsidRPr="00172430" w14:paraId="70627C78" w14:textId="77777777" w:rsidTr="00B04EBB">
        <w:tc>
          <w:tcPr>
            <w:tcW w:w="9356" w:type="dxa"/>
            <w:gridSpan w:val="2"/>
          </w:tcPr>
          <w:p w14:paraId="718FC9D7" w14:textId="6C10AC2A" w:rsidR="007F5068" w:rsidRPr="00172430" w:rsidRDefault="007F5068" w:rsidP="00B105C3">
            <w:pPr>
              <w:spacing w:before="120" w:after="120" w:line="240" w:lineRule="auto"/>
              <w:jc w:val="both"/>
              <w:rPr>
                <w:rFonts w:ascii="Arial" w:eastAsia="Times New Roman" w:hAnsi="Arial" w:cs="Arial"/>
                <w:b/>
                <w:color w:val="323132"/>
                <w:sz w:val="20"/>
                <w:szCs w:val="20"/>
                <w:lang w:val="en-GB"/>
              </w:rPr>
            </w:pPr>
            <w:r w:rsidRPr="00172430">
              <w:rPr>
                <w:rFonts w:ascii="Arial" w:eastAsia="Times New Roman" w:hAnsi="Arial" w:cs="Arial"/>
                <w:b/>
                <w:color w:val="323132"/>
                <w:sz w:val="20"/>
                <w:szCs w:val="20"/>
                <w:lang w:val="en-GB"/>
              </w:rPr>
              <w:t xml:space="preserve">Expert </w:t>
            </w:r>
            <w:r w:rsidR="00C17BA0">
              <w:rPr>
                <w:rFonts w:ascii="Arial" w:eastAsia="Times New Roman" w:hAnsi="Arial" w:cs="Arial"/>
                <w:b/>
                <w:color w:val="323132"/>
                <w:sz w:val="20"/>
                <w:szCs w:val="20"/>
                <w:lang w:val="en-GB"/>
              </w:rPr>
              <w:t>a</w:t>
            </w:r>
            <w:r w:rsidRPr="00172430">
              <w:rPr>
                <w:rFonts w:ascii="Arial" w:eastAsia="Times New Roman" w:hAnsi="Arial" w:cs="Arial"/>
                <w:b/>
                <w:color w:val="323132"/>
                <w:sz w:val="20"/>
                <w:szCs w:val="20"/>
                <w:lang w:val="en-GB"/>
              </w:rPr>
              <w:t>ctivities</w:t>
            </w:r>
            <w:r w:rsidR="00C17BA0">
              <w:rPr>
                <w:rFonts w:ascii="Arial" w:eastAsia="Times New Roman" w:hAnsi="Arial" w:cs="Arial"/>
                <w:b/>
                <w:color w:val="323132"/>
                <w:sz w:val="20"/>
                <w:szCs w:val="20"/>
                <w:lang w:val="en-GB"/>
              </w:rPr>
              <w:t xml:space="preserve"> as per PPF6 ToR</w:t>
            </w:r>
            <w:r w:rsidRPr="00172430">
              <w:rPr>
                <w:rFonts w:ascii="Arial" w:eastAsia="Times New Roman" w:hAnsi="Arial" w:cs="Arial"/>
                <w:b/>
                <w:color w:val="323132"/>
                <w:sz w:val="20"/>
                <w:szCs w:val="20"/>
                <w:lang w:val="en-GB"/>
              </w:rPr>
              <w:t>:</w:t>
            </w:r>
          </w:p>
          <w:p w14:paraId="216BAF69" w14:textId="45D3015F" w:rsidR="007F5068" w:rsidRPr="00172430" w:rsidRDefault="007F5068" w:rsidP="00B105C3">
            <w:pPr>
              <w:spacing w:before="120" w:after="120" w:line="240" w:lineRule="auto"/>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The main activities and duties to be executed by the Expert are as follows:</w:t>
            </w:r>
          </w:p>
          <w:p w14:paraId="25DA01AF" w14:textId="73BE87A0" w:rsidR="007F5068" w:rsidRPr="00172430" w:rsidRDefault="007F5068" w:rsidP="00B105C3">
            <w:pPr>
              <w:spacing w:before="120" w:after="120" w:line="240" w:lineRule="auto"/>
              <w:jc w:val="both"/>
              <w:rPr>
                <w:rFonts w:ascii="Arial" w:eastAsia="Times New Roman" w:hAnsi="Arial" w:cs="Arial"/>
                <w:color w:val="323132"/>
                <w:sz w:val="20"/>
                <w:szCs w:val="20"/>
                <w:u w:val="single"/>
                <w:lang w:val="en-GB"/>
              </w:rPr>
            </w:pPr>
            <w:r w:rsidRPr="00172430">
              <w:rPr>
                <w:rFonts w:ascii="Arial" w:eastAsia="Times New Roman" w:hAnsi="Arial" w:cs="Arial"/>
                <w:color w:val="323132"/>
                <w:sz w:val="20"/>
                <w:szCs w:val="20"/>
                <w:u w:val="single"/>
                <w:lang w:val="en-GB"/>
              </w:rPr>
              <w:t>Result 1: Priority Investment Projects in energy and environmental sectors prepared for implementation:</w:t>
            </w:r>
          </w:p>
          <w:p w14:paraId="377F5417" w14:textId="77777777" w:rsidR="007F5068" w:rsidRPr="00172430" w:rsidRDefault="007F5068" w:rsidP="00B105C3">
            <w:pPr>
              <w:spacing w:before="120" w:after="120" w:line="240" w:lineRule="auto"/>
              <w:ind w:left="501"/>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 xml:space="preserve">Activity 1.1 Preparation of the sub-project Methodologies </w:t>
            </w:r>
          </w:p>
          <w:p w14:paraId="2AC9D511" w14:textId="77777777" w:rsidR="007F5068" w:rsidRPr="00172430" w:rsidRDefault="007F5068" w:rsidP="00B105C3">
            <w:pPr>
              <w:spacing w:before="120" w:after="120" w:line="240" w:lineRule="auto"/>
              <w:ind w:left="501"/>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Activity 1.2 Realization of the surveys/site investigations at the locations identified as optional for implementation of selected projects</w:t>
            </w:r>
          </w:p>
          <w:p w14:paraId="038715F8" w14:textId="4EF0E571" w:rsidR="007F5068" w:rsidRPr="00172430" w:rsidRDefault="007F5068" w:rsidP="0079722E">
            <w:pPr>
              <w:spacing w:before="120" w:after="120" w:line="240" w:lineRule="auto"/>
              <w:ind w:left="501"/>
              <w:jc w:val="both"/>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lastRenderedPageBreak/>
              <w:t xml:space="preserve">Activity 1.3 Preparation of selected projects documentation including preliminary assessment work, pre-feasibility studies, feasibility studies, cost–benefit analyses, funding gap calculations, environment impact assessment studies, general project designs, the preliminary project designs, and the main project designs, as well as tender documentation when deemed justified </w:t>
            </w:r>
          </w:p>
        </w:tc>
      </w:tr>
      <w:tr w:rsidR="007F5068" w:rsidRPr="00172430" w14:paraId="47F23631" w14:textId="77777777" w:rsidTr="00B04EBB">
        <w:tc>
          <w:tcPr>
            <w:tcW w:w="9356" w:type="dxa"/>
            <w:gridSpan w:val="2"/>
          </w:tcPr>
          <w:p w14:paraId="75E0CCB9" w14:textId="77777777" w:rsidR="00B105C3" w:rsidRPr="00172430" w:rsidRDefault="00B105C3" w:rsidP="00B105C3">
            <w:pPr>
              <w:spacing w:before="120" w:after="120" w:line="240" w:lineRule="auto"/>
              <w:jc w:val="both"/>
              <w:rPr>
                <w:rFonts w:ascii="Arial" w:eastAsia="Times New Roman" w:hAnsi="Arial" w:cs="Arial"/>
                <w:b/>
                <w:color w:val="323132"/>
                <w:sz w:val="20"/>
                <w:szCs w:val="20"/>
                <w:lang w:val="en-GB"/>
              </w:rPr>
            </w:pPr>
            <w:r w:rsidRPr="00172430">
              <w:rPr>
                <w:rFonts w:ascii="Arial" w:eastAsia="Times New Roman" w:hAnsi="Arial" w:cs="Arial"/>
                <w:b/>
                <w:color w:val="323132"/>
                <w:sz w:val="20"/>
                <w:szCs w:val="20"/>
                <w:lang w:val="en-GB"/>
              </w:rPr>
              <w:lastRenderedPageBreak/>
              <w:t>General Experts Tasks:</w:t>
            </w:r>
          </w:p>
          <w:p w14:paraId="4C1AD5C9" w14:textId="605D180F" w:rsidR="00B105C3" w:rsidRPr="00172430" w:rsidRDefault="00B105C3" w:rsidP="00B105C3">
            <w:pPr>
              <w:spacing w:before="120" w:after="120" w:line="240" w:lineRule="auto"/>
              <w:jc w:val="both"/>
              <w:rPr>
                <w:rFonts w:ascii="Arial" w:eastAsia="Times New Roman" w:hAnsi="Arial" w:cs="Arial"/>
                <w:bCs/>
                <w:color w:val="323132"/>
                <w:sz w:val="20"/>
                <w:szCs w:val="20"/>
                <w:lang w:val="en-GB"/>
              </w:rPr>
            </w:pPr>
            <w:r w:rsidRPr="00172430">
              <w:rPr>
                <w:rFonts w:ascii="Arial" w:eastAsia="Times New Roman" w:hAnsi="Arial" w:cs="Arial"/>
                <w:bCs/>
                <w:color w:val="323132"/>
                <w:sz w:val="20"/>
                <w:szCs w:val="20"/>
                <w:lang w:val="en-GB"/>
              </w:rPr>
              <w:t>The general activities and duties to be executed by the Hydro</w:t>
            </w:r>
            <w:r w:rsidR="004D7E4F">
              <w:rPr>
                <w:rFonts w:ascii="Arial" w:eastAsia="Times New Roman" w:hAnsi="Arial" w:cs="Arial"/>
                <w:bCs/>
                <w:color w:val="323132"/>
                <w:sz w:val="20"/>
                <w:szCs w:val="20"/>
                <w:lang w:val="en-GB"/>
              </w:rPr>
              <w:t>geo</w:t>
            </w:r>
            <w:r w:rsidRPr="00172430">
              <w:rPr>
                <w:rFonts w:ascii="Arial" w:eastAsia="Times New Roman" w:hAnsi="Arial" w:cs="Arial"/>
                <w:bCs/>
                <w:color w:val="323132"/>
                <w:sz w:val="20"/>
                <w:szCs w:val="20"/>
                <w:lang w:val="en-GB"/>
              </w:rPr>
              <w:t>logist are as follows:</w:t>
            </w:r>
          </w:p>
          <w:p w14:paraId="3C884E2C" w14:textId="0A9F122C" w:rsidR="00B105C3" w:rsidRPr="00172430" w:rsidRDefault="00B105C3" w:rsidP="00B105C3">
            <w:pPr>
              <w:pStyle w:val="ListParagraph"/>
              <w:numPr>
                <w:ilvl w:val="0"/>
                <w:numId w:val="32"/>
              </w:numPr>
              <w:spacing w:before="120" w:after="120" w:line="240" w:lineRule="auto"/>
              <w:ind w:left="1077" w:hanging="442"/>
              <w:contextualSpacing w:val="0"/>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Preparation of hydro</w:t>
            </w:r>
            <w:r w:rsidR="004D7E4F">
              <w:rPr>
                <w:rFonts w:ascii="Arial" w:eastAsia="Times New Roman" w:hAnsi="Arial" w:cs="Arial"/>
                <w:color w:val="323132"/>
                <w:sz w:val="20"/>
                <w:szCs w:val="20"/>
                <w:lang w:val="en-GB"/>
              </w:rPr>
              <w:t>geol</w:t>
            </w:r>
            <w:r w:rsidRPr="00172430">
              <w:rPr>
                <w:rFonts w:ascii="Arial" w:eastAsia="Times New Roman" w:hAnsi="Arial" w:cs="Arial"/>
                <w:color w:val="323132"/>
                <w:sz w:val="20"/>
                <w:szCs w:val="20"/>
                <w:lang w:val="en-GB"/>
              </w:rPr>
              <w:t>ogic</w:t>
            </w:r>
            <w:r w:rsidR="004D7E4F">
              <w:rPr>
                <w:rFonts w:ascii="Arial" w:eastAsia="Times New Roman" w:hAnsi="Arial" w:cs="Arial"/>
                <w:color w:val="323132"/>
                <w:sz w:val="20"/>
                <w:szCs w:val="20"/>
                <w:lang w:val="en-GB"/>
              </w:rPr>
              <w:t xml:space="preserve">, baseline and environmental impact assessment analysis </w:t>
            </w:r>
            <w:r w:rsidRPr="00172430">
              <w:rPr>
                <w:rFonts w:ascii="Arial" w:eastAsia="Times New Roman" w:hAnsi="Arial" w:cs="Arial"/>
                <w:color w:val="323132"/>
                <w:sz w:val="20"/>
                <w:szCs w:val="20"/>
                <w:lang w:val="en-GB"/>
              </w:rPr>
              <w:t>fully in line with the Serbian legislation related to the preparation of Feasibility Studies</w:t>
            </w:r>
          </w:p>
          <w:p w14:paraId="542BB2C5" w14:textId="1388C79A" w:rsidR="00B105C3" w:rsidRPr="00172430" w:rsidRDefault="00B105C3" w:rsidP="00B105C3">
            <w:pPr>
              <w:pStyle w:val="ListParagraph"/>
              <w:numPr>
                <w:ilvl w:val="0"/>
                <w:numId w:val="32"/>
              </w:numPr>
              <w:spacing w:before="120" w:after="120" w:line="240" w:lineRule="auto"/>
              <w:ind w:left="1077" w:hanging="442"/>
              <w:contextualSpacing w:val="0"/>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 xml:space="preserve">Participation </w:t>
            </w:r>
            <w:r w:rsidR="00BA6220">
              <w:rPr>
                <w:rFonts w:ascii="Arial" w:eastAsia="Times New Roman" w:hAnsi="Arial" w:cs="Arial"/>
                <w:color w:val="323132"/>
                <w:sz w:val="20"/>
                <w:szCs w:val="20"/>
                <w:lang w:val="en-GB"/>
              </w:rPr>
              <w:t xml:space="preserve">in </w:t>
            </w:r>
            <w:r w:rsidRPr="00172430">
              <w:rPr>
                <w:rFonts w:ascii="Arial" w:eastAsia="Times New Roman" w:hAnsi="Arial" w:cs="Arial"/>
                <w:color w:val="323132"/>
                <w:sz w:val="20"/>
                <w:szCs w:val="20"/>
                <w:lang w:val="en-GB"/>
              </w:rPr>
              <w:t>main KRWSS-related meetings</w:t>
            </w:r>
          </w:p>
          <w:p w14:paraId="6C0102E9" w14:textId="13E0BA5F" w:rsidR="00B105C3" w:rsidRDefault="00B105C3" w:rsidP="00B105C3">
            <w:pPr>
              <w:pStyle w:val="ListParagraph"/>
              <w:numPr>
                <w:ilvl w:val="0"/>
                <w:numId w:val="32"/>
              </w:numPr>
              <w:spacing w:before="120" w:after="120" w:line="240" w:lineRule="auto"/>
              <w:ind w:left="1077" w:hanging="442"/>
              <w:contextualSpacing w:val="0"/>
              <w:rPr>
                <w:rFonts w:ascii="Arial" w:eastAsia="Times New Roman" w:hAnsi="Arial" w:cs="Arial"/>
                <w:color w:val="323132"/>
                <w:sz w:val="20"/>
                <w:szCs w:val="20"/>
                <w:lang w:val="en-GB"/>
              </w:rPr>
            </w:pPr>
            <w:r w:rsidRPr="00172430">
              <w:rPr>
                <w:rFonts w:ascii="Arial" w:eastAsia="Times New Roman" w:hAnsi="Arial" w:cs="Arial"/>
                <w:color w:val="323132"/>
                <w:sz w:val="20"/>
                <w:szCs w:val="20"/>
                <w:lang w:val="en-GB"/>
              </w:rPr>
              <w:t>Update of hydro</w:t>
            </w:r>
            <w:r w:rsidR="004D7E4F">
              <w:rPr>
                <w:rFonts w:ascii="Arial" w:eastAsia="Times New Roman" w:hAnsi="Arial" w:cs="Arial"/>
                <w:color w:val="323132"/>
                <w:sz w:val="20"/>
                <w:szCs w:val="20"/>
                <w:lang w:val="en-GB"/>
              </w:rPr>
              <w:t>geo</w:t>
            </w:r>
            <w:r w:rsidRPr="00172430">
              <w:rPr>
                <w:rFonts w:ascii="Arial" w:eastAsia="Times New Roman" w:hAnsi="Arial" w:cs="Arial"/>
                <w:color w:val="323132"/>
                <w:sz w:val="20"/>
                <w:szCs w:val="20"/>
                <w:lang w:val="en-GB"/>
              </w:rPr>
              <w:t>logic</w:t>
            </w:r>
            <w:r w:rsidR="004D7E4F">
              <w:rPr>
                <w:rFonts w:ascii="Arial" w:eastAsia="Times New Roman" w:hAnsi="Arial" w:cs="Arial"/>
                <w:color w:val="323132"/>
                <w:sz w:val="20"/>
                <w:szCs w:val="20"/>
                <w:lang w:val="en-GB"/>
              </w:rPr>
              <w:t>, baseline a</w:t>
            </w:r>
            <w:r w:rsidRPr="00172430">
              <w:rPr>
                <w:rFonts w:ascii="Arial" w:eastAsia="Times New Roman" w:hAnsi="Arial" w:cs="Arial"/>
                <w:color w:val="323132"/>
                <w:sz w:val="20"/>
                <w:szCs w:val="20"/>
                <w:lang w:val="en-GB"/>
              </w:rPr>
              <w:t>nd</w:t>
            </w:r>
            <w:r w:rsidR="004D7E4F">
              <w:rPr>
                <w:rFonts w:ascii="Arial" w:eastAsia="Times New Roman" w:hAnsi="Arial" w:cs="Arial"/>
                <w:color w:val="323132"/>
                <w:sz w:val="20"/>
                <w:szCs w:val="20"/>
                <w:lang w:val="en-GB"/>
              </w:rPr>
              <w:t xml:space="preserve"> EIA analysis </w:t>
            </w:r>
            <w:r w:rsidRPr="00172430">
              <w:rPr>
                <w:rFonts w:ascii="Arial" w:eastAsia="Times New Roman" w:hAnsi="Arial" w:cs="Arial"/>
                <w:color w:val="323132"/>
                <w:sz w:val="20"/>
                <w:szCs w:val="20"/>
                <w:lang w:val="en-GB"/>
              </w:rPr>
              <w:t xml:space="preserve">based on the comments received from the relevant institutions/authorities (JASPERS, State Revision Committee, Beneficiary working group, …) </w:t>
            </w:r>
            <w:r w:rsidR="00523E28" w:rsidRPr="00172430">
              <w:rPr>
                <w:rFonts w:ascii="Arial" w:eastAsia="Times New Roman" w:hAnsi="Arial" w:cs="Arial"/>
                <w:color w:val="323132"/>
                <w:sz w:val="20"/>
                <w:szCs w:val="20"/>
                <w:lang w:val="en-GB"/>
              </w:rPr>
              <w:t>until</w:t>
            </w:r>
            <w:r w:rsidR="00523E28">
              <w:rPr>
                <w:rFonts w:ascii="Arial" w:eastAsia="Times New Roman" w:hAnsi="Arial" w:cs="Arial"/>
                <w:color w:val="323132"/>
                <w:sz w:val="20"/>
                <w:szCs w:val="20"/>
                <w:lang w:val="en-GB"/>
              </w:rPr>
              <w:t xml:space="preserve"> final </w:t>
            </w:r>
            <w:r w:rsidR="00523E28" w:rsidRPr="00172430">
              <w:rPr>
                <w:rFonts w:ascii="Arial" w:eastAsia="Times New Roman" w:hAnsi="Arial" w:cs="Arial"/>
                <w:color w:val="323132"/>
                <w:sz w:val="20"/>
                <w:szCs w:val="20"/>
                <w:lang w:val="en-GB"/>
              </w:rPr>
              <w:t>clearance</w:t>
            </w:r>
            <w:r w:rsidR="00523E28">
              <w:rPr>
                <w:rFonts w:ascii="Arial" w:eastAsia="Times New Roman" w:hAnsi="Arial" w:cs="Arial"/>
                <w:color w:val="323132"/>
                <w:sz w:val="20"/>
                <w:szCs w:val="20"/>
                <w:lang w:val="en-GB"/>
              </w:rPr>
              <w:t xml:space="preserve"> </w:t>
            </w:r>
            <w:r w:rsidRPr="00172430">
              <w:rPr>
                <w:rFonts w:ascii="Arial" w:eastAsia="Times New Roman" w:hAnsi="Arial" w:cs="Arial"/>
                <w:color w:val="323132"/>
                <w:sz w:val="20"/>
                <w:szCs w:val="20"/>
                <w:lang w:val="en-GB"/>
              </w:rPr>
              <w:t xml:space="preserve">is </w:t>
            </w:r>
            <w:r w:rsidR="00523E28">
              <w:rPr>
                <w:rFonts w:ascii="Arial" w:eastAsia="Times New Roman" w:hAnsi="Arial" w:cs="Arial"/>
                <w:color w:val="323132"/>
                <w:sz w:val="20"/>
                <w:szCs w:val="20"/>
                <w:lang w:val="en-GB"/>
              </w:rPr>
              <w:t>obtained from them</w:t>
            </w:r>
            <w:r>
              <w:rPr>
                <w:rFonts w:ascii="Arial" w:eastAsia="Times New Roman" w:hAnsi="Arial" w:cs="Arial"/>
                <w:color w:val="323132"/>
                <w:sz w:val="20"/>
                <w:szCs w:val="20"/>
                <w:lang w:val="en-GB"/>
              </w:rPr>
              <w:t>.</w:t>
            </w:r>
          </w:p>
          <w:p w14:paraId="064FC677" w14:textId="77777777" w:rsidR="00523E28" w:rsidRDefault="00523E28" w:rsidP="00B105C3">
            <w:pPr>
              <w:spacing w:before="120" w:after="120" w:line="240" w:lineRule="auto"/>
              <w:jc w:val="both"/>
              <w:rPr>
                <w:rFonts w:ascii="Arial" w:eastAsia="Times New Roman" w:hAnsi="Arial" w:cs="Arial"/>
                <w:b/>
                <w:color w:val="323132"/>
                <w:sz w:val="20"/>
                <w:szCs w:val="20"/>
                <w:lang w:val="en-GB"/>
              </w:rPr>
            </w:pPr>
          </w:p>
          <w:p w14:paraId="26DD4E0F" w14:textId="7325A59F" w:rsidR="007F5068" w:rsidRPr="00172430" w:rsidRDefault="007F5068" w:rsidP="00B105C3">
            <w:pPr>
              <w:spacing w:before="120" w:after="120" w:line="240" w:lineRule="auto"/>
              <w:jc w:val="both"/>
              <w:rPr>
                <w:rFonts w:ascii="Arial" w:eastAsia="Times New Roman" w:hAnsi="Arial" w:cs="Arial"/>
                <w:b/>
                <w:color w:val="323132"/>
                <w:sz w:val="20"/>
                <w:szCs w:val="20"/>
                <w:lang w:val="en-GB"/>
              </w:rPr>
            </w:pPr>
            <w:r w:rsidRPr="00172430">
              <w:rPr>
                <w:rFonts w:ascii="Arial" w:eastAsia="Times New Roman" w:hAnsi="Arial" w:cs="Arial"/>
                <w:b/>
                <w:color w:val="323132"/>
                <w:sz w:val="20"/>
                <w:szCs w:val="20"/>
                <w:lang w:val="en-GB"/>
              </w:rPr>
              <w:t>Specific Expert Tasks</w:t>
            </w:r>
          </w:p>
          <w:p w14:paraId="7545028C" w14:textId="1AD14E07" w:rsidR="007F5068" w:rsidRPr="00172430" w:rsidRDefault="007F5068" w:rsidP="00B105C3">
            <w:pPr>
              <w:spacing w:before="120" w:after="120" w:line="240" w:lineRule="auto"/>
              <w:jc w:val="both"/>
              <w:rPr>
                <w:rFonts w:ascii="Arial" w:hAnsi="Arial" w:cs="Arial"/>
                <w:color w:val="323132"/>
                <w:sz w:val="20"/>
                <w:szCs w:val="20"/>
              </w:rPr>
            </w:pPr>
            <w:r w:rsidRPr="00172430">
              <w:rPr>
                <w:rFonts w:ascii="Arial" w:hAnsi="Arial" w:cs="Arial"/>
                <w:color w:val="323132"/>
                <w:sz w:val="20"/>
                <w:szCs w:val="20"/>
              </w:rPr>
              <w:t>The Hydro</w:t>
            </w:r>
            <w:r w:rsidR="004D7E4F">
              <w:rPr>
                <w:rFonts w:ascii="Arial" w:hAnsi="Arial" w:cs="Arial"/>
                <w:color w:val="323132"/>
                <w:sz w:val="20"/>
                <w:szCs w:val="20"/>
              </w:rPr>
              <w:t>geo</w:t>
            </w:r>
            <w:r w:rsidRPr="00172430">
              <w:rPr>
                <w:rFonts w:ascii="Arial" w:hAnsi="Arial" w:cs="Arial"/>
                <w:color w:val="323132"/>
                <w:sz w:val="20"/>
                <w:szCs w:val="20"/>
              </w:rPr>
              <w:t>logist will be responsible:</w:t>
            </w:r>
          </w:p>
          <w:p w14:paraId="01440E82" w14:textId="7EBE436C" w:rsidR="00AD6876" w:rsidRDefault="007F5068" w:rsidP="00B105C3">
            <w:pPr>
              <w:pStyle w:val="ListParagraph"/>
              <w:numPr>
                <w:ilvl w:val="0"/>
                <w:numId w:val="33"/>
              </w:numPr>
              <w:spacing w:before="120" w:after="120" w:line="240" w:lineRule="auto"/>
              <w:contextualSpacing w:val="0"/>
              <w:jc w:val="both"/>
              <w:rPr>
                <w:rFonts w:ascii="Arial" w:hAnsi="Arial" w:cs="Arial"/>
                <w:color w:val="323132"/>
                <w:sz w:val="20"/>
                <w:szCs w:val="20"/>
              </w:rPr>
            </w:pPr>
            <w:r w:rsidRPr="00172430">
              <w:rPr>
                <w:rFonts w:ascii="Arial" w:hAnsi="Arial" w:cs="Arial"/>
                <w:color w:val="323132"/>
                <w:sz w:val="20"/>
                <w:szCs w:val="20"/>
              </w:rPr>
              <w:t xml:space="preserve">To </w:t>
            </w:r>
            <w:r w:rsidR="004D7E4F">
              <w:rPr>
                <w:rFonts w:ascii="Arial" w:hAnsi="Arial" w:cs="Arial"/>
                <w:color w:val="323132"/>
                <w:sz w:val="20"/>
                <w:szCs w:val="20"/>
              </w:rPr>
              <w:t xml:space="preserve">identify </w:t>
            </w:r>
            <w:r w:rsidR="00AD6876">
              <w:rPr>
                <w:rFonts w:ascii="Arial" w:hAnsi="Arial" w:cs="Arial"/>
                <w:color w:val="323132"/>
                <w:sz w:val="20"/>
                <w:szCs w:val="20"/>
              </w:rPr>
              <w:t xml:space="preserve">main </w:t>
            </w:r>
            <w:r w:rsidR="004D7E4F">
              <w:rPr>
                <w:rFonts w:ascii="Arial" w:hAnsi="Arial" w:cs="Arial"/>
                <w:color w:val="323132"/>
                <w:sz w:val="20"/>
                <w:szCs w:val="20"/>
              </w:rPr>
              <w:t>water sources</w:t>
            </w:r>
            <w:r w:rsidR="00AD6876">
              <w:rPr>
                <w:rFonts w:ascii="Arial" w:hAnsi="Arial" w:cs="Arial"/>
                <w:color w:val="323132"/>
                <w:sz w:val="20"/>
                <w:szCs w:val="20"/>
              </w:rPr>
              <w:t xml:space="preserve"> (&gt; 5 l/s)</w:t>
            </w:r>
            <w:r w:rsidR="004D7E4F">
              <w:rPr>
                <w:rFonts w:ascii="Arial" w:hAnsi="Arial" w:cs="Arial"/>
                <w:color w:val="323132"/>
                <w:sz w:val="20"/>
                <w:szCs w:val="20"/>
              </w:rPr>
              <w:t xml:space="preserve"> in the service area of KRWSS that can be used for </w:t>
            </w:r>
            <w:r w:rsidR="00AD6876">
              <w:rPr>
                <w:rFonts w:ascii="Arial" w:hAnsi="Arial" w:cs="Arial"/>
                <w:color w:val="323132"/>
                <w:sz w:val="20"/>
                <w:szCs w:val="20"/>
              </w:rPr>
              <w:t xml:space="preserve">long-term </w:t>
            </w:r>
            <w:r w:rsidR="004D7E4F">
              <w:rPr>
                <w:rFonts w:ascii="Arial" w:hAnsi="Arial" w:cs="Arial"/>
                <w:color w:val="323132"/>
                <w:sz w:val="20"/>
                <w:szCs w:val="20"/>
              </w:rPr>
              <w:t>water supply</w:t>
            </w:r>
            <w:r w:rsidR="00AD6876">
              <w:rPr>
                <w:rFonts w:ascii="Arial" w:hAnsi="Arial" w:cs="Arial"/>
                <w:color w:val="323132"/>
                <w:sz w:val="20"/>
                <w:szCs w:val="20"/>
              </w:rPr>
              <w:t>;</w:t>
            </w:r>
          </w:p>
          <w:p w14:paraId="203478BB" w14:textId="2089C1EF" w:rsidR="00AD6876" w:rsidRDefault="00AD6876" w:rsidP="00B105C3">
            <w:pPr>
              <w:pStyle w:val="ListParagraph"/>
              <w:numPr>
                <w:ilvl w:val="0"/>
                <w:numId w:val="33"/>
              </w:numPr>
              <w:spacing w:before="120" w:after="120" w:line="240" w:lineRule="auto"/>
              <w:contextualSpacing w:val="0"/>
              <w:jc w:val="both"/>
              <w:rPr>
                <w:rFonts w:ascii="Arial" w:hAnsi="Arial" w:cs="Arial"/>
                <w:color w:val="323132"/>
                <w:sz w:val="20"/>
                <w:szCs w:val="20"/>
              </w:rPr>
            </w:pPr>
            <w:r w:rsidRPr="00AD6876">
              <w:rPr>
                <w:rFonts w:ascii="Arial" w:hAnsi="Arial" w:cs="Arial"/>
                <w:color w:val="323132"/>
                <w:sz w:val="20"/>
                <w:szCs w:val="20"/>
              </w:rPr>
              <w:t>To estimate the investment costs required to rehabilitate existing and activate new water sources.</w:t>
            </w:r>
          </w:p>
          <w:p w14:paraId="22F5848B" w14:textId="46C55C56" w:rsidR="00AD6876" w:rsidRDefault="00AD6876" w:rsidP="00B105C3">
            <w:pPr>
              <w:pStyle w:val="ListParagraph"/>
              <w:numPr>
                <w:ilvl w:val="0"/>
                <w:numId w:val="33"/>
              </w:numPr>
              <w:spacing w:before="120" w:after="120" w:line="240" w:lineRule="auto"/>
              <w:contextualSpacing w:val="0"/>
              <w:jc w:val="both"/>
              <w:rPr>
                <w:rFonts w:ascii="Arial" w:hAnsi="Arial" w:cs="Arial"/>
                <w:color w:val="323132"/>
                <w:sz w:val="20"/>
                <w:szCs w:val="20"/>
              </w:rPr>
            </w:pPr>
            <w:r>
              <w:rPr>
                <w:rFonts w:ascii="Arial" w:hAnsi="Arial" w:cs="Arial"/>
                <w:color w:val="323132"/>
                <w:sz w:val="20"/>
                <w:szCs w:val="20"/>
              </w:rPr>
              <w:t>To prepare</w:t>
            </w:r>
            <w:r w:rsidR="002B1D21">
              <w:rPr>
                <w:rFonts w:ascii="Arial" w:hAnsi="Arial" w:cs="Arial"/>
                <w:color w:val="323132"/>
                <w:sz w:val="20"/>
                <w:szCs w:val="20"/>
              </w:rPr>
              <w:t xml:space="preserve"> an</w:t>
            </w:r>
            <w:r>
              <w:rPr>
                <w:rFonts w:ascii="Arial" w:hAnsi="Arial" w:cs="Arial"/>
                <w:color w:val="323132"/>
                <w:sz w:val="20"/>
                <w:szCs w:val="20"/>
              </w:rPr>
              <w:t xml:space="preserve"> “EIA </w:t>
            </w:r>
            <w:r w:rsidR="002B1D21">
              <w:rPr>
                <w:rFonts w:ascii="Arial" w:hAnsi="Arial" w:cs="Arial"/>
                <w:color w:val="323132"/>
                <w:sz w:val="20"/>
                <w:szCs w:val="20"/>
              </w:rPr>
              <w:t>C</w:t>
            </w:r>
            <w:r>
              <w:rPr>
                <w:rFonts w:ascii="Arial" w:hAnsi="Arial" w:cs="Arial"/>
                <w:color w:val="323132"/>
                <w:sz w:val="20"/>
                <w:szCs w:val="20"/>
              </w:rPr>
              <w:t>hapter” for</w:t>
            </w:r>
            <w:r w:rsidR="002B1D21">
              <w:rPr>
                <w:rFonts w:ascii="Arial" w:hAnsi="Arial" w:cs="Arial"/>
                <w:color w:val="323132"/>
                <w:sz w:val="20"/>
                <w:szCs w:val="20"/>
              </w:rPr>
              <w:t xml:space="preserve"> the</w:t>
            </w:r>
            <w:r>
              <w:rPr>
                <w:rFonts w:ascii="Arial" w:hAnsi="Arial" w:cs="Arial"/>
                <w:color w:val="323132"/>
                <w:sz w:val="20"/>
                <w:szCs w:val="20"/>
              </w:rPr>
              <w:t xml:space="preserve"> Feasibility Study;</w:t>
            </w:r>
          </w:p>
          <w:p w14:paraId="25C31465" w14:textId="32C7DE11" w:rsidR="007F5068" w:rsidRPr="00AD6876" w:rsidRDefault="00AD6876" w:rsidP="00AD6876">
            <w:pPr>
              <w:pStyle w:val="ListParagraph"/>
              <w:numPr>
                <w:ilvl w:val="0"/>
                <w:numId w:val="33"/>
              </w:numPr>
              <w:spacing w:before="120" w:after="120" w:line="240" w:lineRule="auto"/>
              <w:contextualSpacing w:val="0"/>
              <w:jc w:val="both"/>
              <w:rPr>
                <w:rFonts w:ascii="Arial" w:hAnsi="Arial" w:cs="Arial"/>
                <w:color w:val="323132"/>
                <w:sz w:val="20"/>
                <w:szCs w:val="20"/>
              </w:rPr>
            </w:pPr>
            <w:r>
              <w:rPr>
                <w:rFonts w:ascii="Arial" w:hAnsi="Arial" w:cs="Arial"/>
                <w:color w:val="323132"/>
                <w:sz w:val="20"/>
                <w:szCs w:val="20"/>
              </w:rPr>
              <w:t>To prepare</w:t>
            </w:r>
            <w:r w:rsidR="002B1D21">
              <w:rPr>
                <w:rFonts w:ascii="Arial" w:hAnsi="Arial" w:cs="Arial"/>
                <w:color w:val="323132"/>
                <w:sz w:val="20"/>
                <w:szCs w:val="20"/>
              </w:rPr>
              <w:t xml:space="preserve"> a</w:t>
            </w:r>
            <w:r>
              <w:rPr>
                <w:rFonts w:ascii="Arial" w:hAnsi="Arial" w:cs="Arial"/>
                <w:color w:val="323132"/>
                <w:sz w:val="20"/>
                <w:szCs w:val="20"/>
              </w:rPr>
              <w:t xml:space="preserve"> “Baseline </w:t>
            </w:r>
            <w:r w:rsidR="002B1D21">
              <w:rPr>
                <w:rFonts w:ascii="Arial" w:hAnsi="Arial" w:cs="Arial"/>
                <w:color w:val="323132"/>
                <w:sz w:val="20"/>
                <w:szCs w:val="20"/>
              </w:rPr>
              <w:t>C</w:t>
            </w:r>
            <w:r>
              <w:rPr>
                <w:rFonts w:ascii="Arial" w:hAnsi="Arial" w:cs="Arial"/>
                <w:color w:val="323132"/>
                <w:sz w:val="20"/>
                <w:szCs w:val="20"/>
              </w:rPr>
              <w:t>hapter” for</w:t>
            </w:r>
            <w:r w:rsidR="002B1D21">
              <w:rPr>
                <w:rFonts w:ascii="Arial" w:hAnsi="Arial" w:cs="Arial"/>
                <w:color w:val="323132"/>
                <w:sz w:val="20"/>
                <w:szCs w:val="20"/>
              </w:rPr>
              <w:t xml:space="preserve"> the</w:t>
            </w:r>
            <w:r>
              <w:rPr>
                <w:rFonts w:ascii="Arial" w:hAnsi="Arial" w:cs="Arial"/>
                <w:color w:val="323132"/>
                <w:sz w:val="20"/>
                <w:szCs w:val="20"/>
              </w:rPr>
              <w:t xml:space="preserve"> Feasibility Study.</w:t>
            </w:r>
          </w:p>
        </w:tc>
      </w:tr>
      <w:tr w:rsidR="007F5068" w:rsidRPr="00172430" w14:paraId="37874CA2" w14:textId="77777777" w:rsidTr="00B04EBB">
        <w:tc>
          <w:tcPr>
            <w:tcW w:w="9356" w:type="dxa"/>
            <w:gridSpan w:val="2"/>
          </w:tcPr>
          <w:p w14:paraId="660A5361" w14:textId="5B090AD4" w:rsidR="007F5068" w:rsidRPr="00172430" w:rsidRDefault="007F5068" w:rsidP="00B105C3">
            <w:pPr>
              <w:spacing w:before="120" w:after="120" w:line="240" w:lineRule="auto"/>
              <w:jc w:val="both"/>
              <w:rPr>
                <w:rFonts w:ascii="Arial" w:eastAsia="Times New Roman" w:hAnsi="Arial" w:cs="Arial"/>
                <w:b/>
                <w:color w:val="323132"/>
                <w:sz w:val="20"/>
                <w:szCs w:val="20"/>
                <w:lang w:val="en-GB"/>
              </w:rPr>
            </w:pPr>
            <w:r w:rsidRPr="00172430">
              <w:rPr>
                <w:rFonts w:ascii="Arial" w:eastAsia="Times New Roman" w:hAnsi="Arial" w:cs="Arial"/>
                <w:b/>
                <w:color w:val="323132"/>
                <w:sz w:val="20"/>
                <w:szCs w:val="20"/>
                <w:lang w:val="en-GB"/>
              </w:rPr>
              <w:t>Expert Outputs:</w:t>
            </w:r>
          </w:p>
          <w:p w14:paraId="4B854DF2" w14:textId="61DB1BC9" w:rsidR="007F5068" w:rsidRPr="00172430" w:rsidRDefault="007F5068" w:rsidP="00B105C3">
            <w:pPr>
              <w:spacing w:before="120" w:after="120" w:line="240" w:lineRule="auto"/>
              <w:jc w:val="both"/>
              <w:rPr>
                <w:rFonts w:ascii="Arial" w:hAnsi="Arial" w:cs="Arial"/>
                <w:color w:val="323132"/>
                <w:sz w:val="20"/>
                <w:szCs w:val="20"/>
              </w:rPr>
            </w:pPr>
            <w:r w:rsidRPr="00172430">
              <w:rPr>
                <w:rFonts w:ascii="Arial" w:hAnsi="Arial" w:cs="Arial"/>
                <w:color w:val="323132"/>
                <w:sz w:val="20"/>
                <w:szCs w:val="20"/>
              </w:rPr>
              <w:t xml:space="preserve">The </w:t>
            </w:r>
            <w:r w:rsidR="00BF34C1" w:rsidRPr="00BF34C1">
              <w:rPr>
                <w:rFonts w:ascii="Arial" w:hAnsi="Arial" w:cs="Arial"/>
                <w:color w:val="323132"/>
                <w:sz w:val="20"/>
                <w:szCs w:val="20"/>
              </w:rPr>
              <w:t>Hydrogeologist</w:t>
            </w:r>
            <w:r w:rsidRPr="00172430">
              <w:rPr>
                <w:rFonts w:ascii="Arial" w:hAnsi="Arial" w:cs="Arial"/>
                <w:color w:val="323132"/>
                <w:sz w:val="20"/>
                <w:szCs w:val="20"/>
              </w:rPr>
              <w:t xml:space="preserve"> will be responsible for the preparation of the following outputs:</w:t>
            </w:r>
          </w:p>
          <w:p w14:paraId="540C22E4" w14:textId="13E9820C" w:rsidR="007F5068" w:rsidRDefault="007F5068" w:rsidP="00B105C3">
            <w:pPr>
              <w:numPr>
                <w:ilvl w:val="0"/>
                <w:numId w:val="27"/>
              </w:numPr>
              <w:spacing w:before="120" w:after="120" w:line="240" w:lineRule="auto"/>
              <w:rPr>
                <w:rFonts w:ascii="Arial" w:hAnsi="Arial" w:cs="Arial"/>
                <w:color w:val="323132"/>
                <w:sz w:val="20"/>
                <w:szCs w:val="20"/>
              </w:rPr>
            </w:pPr>
            <w:r w:rsidRPr="00172430">
              <w:rPr>
                <w:rFonts w:ascii="Arial" w:hAnsi="Arial" w:cs="Arial"/>
                <w:color w:val="323132"/>
                <w:sz w:val="20"/>
                <w:szCs w:val="20"/>
              </w:rPr>
              <w:t>Hydro</w:t>
            </w:r>
            <w:r w:rsidR="00AD6876">
              <w:rPr>
                <w:rFonts w:ascii="Arial" w:hAnsi="Arial" w:cs="Arial"/>
                <w:color w:val="323132"/>
                <w:sz w:val="20"/>
                <w:szCs w:val="20"/>
              </w:rPr>
              <w:t xml:space="preserve">geological </w:t>
            </w:r>
            <w:r w:rsidRPr="00172430">
              <w:rPr>
                <w:rFonts w:ascii="Arial" w:hAnsi="Arial" w:cs="Arial"/>
                <w:color w:val="323132"/>
                <w:sz w:val="20"/>
                <w:szCs w:val="20"/>
              </w:rPr>
              <w:t>Analysis Report</w:t>
            </w:r>
            <w:r w:rsidR="00AD6876">
              <w:rPr>
                <w:rFonts w:ascii="Arial" w:hAnsi="Arial" w:cs="Arial"/>
                <w:color w:val="323132"/>
                <w:sz w:val="20"/>
                <w:szCs w:val="20"/>
              </w:rPr>
              <w:t xml:space="preserve"> about water resources in the service area of KRWSS</w:t>
            </w:r>
            <w:r w:rsidRPr="00172430">
              <w:rPr>
                <w:rFonts w:ascii="Arial" w:hAnsi="Arial" w:cs="Arial"/>
                <w:color w:val="323132"/>
                <w:sz w:val="20"/>
                <w:szCs w:val="20"/>
              </w:rPr>
              <w:t xml:space="preserve">; </w:t>
            </w:r>
          </w:p>
          <w:p w14:paraId="002EBE09" w14:textId="00762682" w:rsidR="00AD6876" w:rsidRDefault="00AD6876" w:rsidP="00B105C3">
            <w:pPr>
              <w:numPr>
                <w:ilvl w:val="0"/>
                <w:numId w:val="27"/>
              </w:numPr>
              <w:spacing w:before="120" w:after="120" w:line="240" w:lineRule="auto"/>
              <w:rPr>
                <w:rFonts w:ascii="Arial" w:hAnsi="Arial" w:cs="Arial"/>
                <w:color w:val="323132"/>
                <w:sz w:val="20"/>
                <w:szCs w:val="20"/>
              </w:rPr>
            </w:pPr>
            <w:r>
              <w:rPr>
                <w:rFonts w:ascii="Arial" w:hAnsi="Arial" w:cs="Arial"/>
                <w:color w:val="323132"/>
                <w:sz w:val="20"/>
                <w:szCs w:val="20"/>
              </w:rPr>
              <w:t xml:space="preserve">“EIA </w:t>
            </w:r>
            <w:r w:rsidR="002B1D21">
              <w:rPr>
                <w:rFonts w:ascii="Arial" w:hAnsi="Arial" w:cs="Arial"/>
                <w:color w:val="323132"/>
                <w:sz w:val="20"/>
                <w:szCs w:val="20"/>
              </w:rPr>
              <w:t>C</w:t>
            </w:r>
            <w:r>
              <w:rPr>
                <w:rFonts w:ascii="Arial" w:hAnsi="Arial" w:cs="Arial"/>
                <w:color w:val="323132"/>
                <w:sz w:val="20"/>
                <w:szCs w:val="20"/>
              </w:rPr>
              <w:t xml:space="preserve">hapter” </w:t>
            </w:r>
            <w:r w:rsidR="002B1D21">
              <w:rPr>
                <w:rFonts w:ascii="Arial" w:hAnsi="Arial" w:cs="Arial"/>
                <w:color w:val="323132"/>
                <w:sz w:val="20"/>
                <w:szCs w:val="20"/>
              </w:rPr>
              <w:t xml:space="preserve">for </w:t>
            </w:r>
            <w:r>
              <w:rPr>
                <w:rFonts w:ascii="Arial" w:hAnsi="Arial" w:cs="Arial"/>
                <w:color w:val="323132"/>
                <w:sz w:val="20"/>
                <w:szCs w:val="20"/>
              </w:rPr>
              <w:t>the Feasibility Study;</w:t>
            </w:r>
          </w:p>
          <w:p w14:paraId="457B4263" w14:textId="353040D1" w:rsidR="00AD6876" w:rsidRPr="00172430" w:rsidRDefault="00AD6876" w:rsidP="00B105C3">
            <w:pPr>
              <w:numPr>
                <w:ilvl w:val="0"/>
                <w:numId w:val="27"/>
              </w:numPr>
              <w:spacing w:before="120" w:after="120" w:line="240" w:lineRule="auto"/>
              <w:rPr>
                <w:rFonts w:ascii="Arial" w:hAnsi="Arial" w:cs="Arial"/>
                <w:color w:val="323132"/>
                <w:sz w:val="20"/>
                <w:szCs w:val="20"/>
              </w:rPr>
            </w:pPr>
            <w:r>
              <w:rPr>
                <w:rFonts w:ascii="Arial" w:hAnsi="Arial" w:cs="Arial"/>
                <w:color w:val="323132"/>
                <w:sz w:val="20"/>
                <w:szCs w:val="20"/>
              </w:rPr>
              <w:t xml:space="preserve">“Baseline Chapter” </w:t>
            </w:r>
            <w:r w:rsidR="002B1D21">
              <w:rPr>
                <w:rFonts w:ascii="Arial" w:hAnsi="Arial" w:cs="Arial"/>
                <w:color w:val="323132"/>
                <w:sz w:val="20"/>
                <w:szCs w:val="20"/>
              </w:rPr>
              <w:t xml:space="preserve">for </w:t>
            </w:r>
            <w:r>
              <w:rPr>
                <w:rFonts w:ascii="Arial" w:hAnsi="Arial" w:cs="Arial"/>
                <w:color w:val="323132"/>
                <w:sz w:val="20"/>
                <w:szCs w:val="20"/>
              </w:rPr>
              <w:t>the Feasibility Study;</w:t>
            </w:r>
          </w:p>
          <w:p w14:paraId="66BB3904" w14:textId="73CE06BA" w:rsidR="007F5068" w:rsidRPr="00172430" w:rsidRDefault="007F5068" w:rsidP="00B105C3">
            <w:pPr>
              <w:pStyle w:val="ListParagraph"/>
              <w:numPr>
                <w:ilvl w:val="0"/>
                <w:numId w:val="27"/>
              </w:numPr>
              <w:spacing w:before="120" w:after="120" w:line="240" w:lineRule="auto"/>
              <w:contextualSpacing w:val="0"/>
              <w:jc w:val="both"/>
              <w:rPr>
                <w:rFonts w:ascii="Arial" w:eastAsia="Times New Roman" w:hAnsi="Arial" w:cs="Arial"/>
                <w:color w:val="323132"/>
                <w:sz w:val="20"/>
                <w:szCs w:val="20"/>
                <w:lang w:val="en-GB"/>
              </w:rPr>
            </w:pPr>
            <w:r w:rsidRPr="00172430">
              <w:rPr>
                <w:rFonts w:ascii="Arial" w:hAnsi="Arial" w:cs="Arial"/>
                <w:color w:val="323132"/>
                <w:sz w:val="20"/>
                <w:szCs w:val="20"/>
              </w:rPr>
              <w:t>Monthly progress letters</w:t>
            </w:r>
            <w:r w:rsidR="00AD6876">
              <w:rPr>
                <w:rFonts w:ascii="Arial" w:hAnsi="Arial" w:cs="Arial"/>
                <w:color w:val="323132"/>
                <w:sz w:val="20"/>
                <w:szCs w:val="20"/>
              </w:rPr>
              <w:t>.</w:t>
            </w:r>
          </w:p>
        </w:tc>
      </w:tr>
      <w:tr w:rsidR="007F5068" w:rsidRPr="00172430" w14:paraId="711843AB" w14:textId="77777777" w:rsidTr="00B04EBB">
        <w:tc>
          <w:tcPr>
            <w:tcW w:w="9356" w:type="dxa"/>
            <w:gridSpan w:val="2"/>
          </w:tcPr>
          <w:p w14:paraId="13AFD1D1" w14:textId="3D1CDC35" w:rsidR="007F5068" w:rsidRPr="00172430" w:rsidRDefault="007F5068" w:rsidP="00B105C3">
            <w:pPr>
              <w:spacing w:before="120" w:after="120" w:line="240" w:lineRule="auto"/>
              <w:jc w:val="both"/>
              <w:rPr>
                <w:rFonts w:ascii="Arial" w:eastAsia="Times New Roman" w:hAnsi="Arial" w:cs="Arial"/>
                <w:b/>
                <w:color w:val="323132"/>
                <w:sz w:val="20"/>
                <w:szCs w:val="20"/>
                <w:lang w:val="en-GB"/>
              </w:rPr>
            </w:pPr>
            <w:r w:rsidRPr="00172430">
              <w:rPr>
                <w:rFonts w:ascii="Arial" w:eastAsia="Times New Roman" w:hAnsi="Arial" w:cs="Arial"/>
                <w:b/>
                <w:color w:val="323132"/>
                <w:sz w:val="20"/>
                <w:szCs w:val="20"/>
                <w:lang w:val="en-GB"/>
              </w:rPr>
              <w:t>Expert Schedule:</w:t>
            </w:r>
          </w:p>
          <w:p w14:paraId="5E43FB9B" w14:textId="0D04F6D6" w:rsidR="007F5068" w:rsidRPr="00172430" w:rsidRDefault="007F5068" w:rsidP="00B105C3">
            <w:pPr>
              <w:spacing w:before="120" w:after="120" w:line="240" w:lineRule="auto"/>
              <w:jc w:val="both"/>
              <w:rPr>
                <w:rFonts w:ascii="Arial" w:eastAsia="Times New Roman" w:hAnsi="Arial" w:cs="Arial"/>
                <w:b/>
                <w:color w:val="323132"/>
                <w:sz w:val="20"/>
                <w:szCs w:val="20"/>
                <w:lang w:val="en-GB"/>
              </w:rPr>
            </w:pPr>
            <w:r w:rsidRPr="00172430">
              <w:rPr>
                <w:rFonts w:ascii="Arial" w:hAnsi="Arial" w:cs="Arial"/>
                <w:color w:val="323132"/>
                <w:sz w:val="20"/>
                <w:szCs w:val="20"/>
              </w:rPr>
              <w:t>The schedule of Expert’s work-plan shall be agreed with the Deputy Team Leader (DTL) and Team Leader (TL) to fit the requirements of key project beneficiaries.</w:t>
            </w:r>
          </w:p>
        </w:tc>
      </w:tr>
      <w:tr w:rsidR="007F5068" w:rsidRPr="00172430" w14:paraId="794049E7" w14:textId="77777777" w:rsidTr="00B04EBB">
        <w:tc>
          <w:tcPr>
            <w:tcW w:w="9356" w:type="dxa"/>
            <w:gridSpan w:val="2"/>
          </w:tcPr>
          <w:p w14:paraId="7427DE58" w14:textId="437093A2" w:rsidR="007F5068" w:rsidRPr="00172430" w:rsidRDefault="007F5068" w:rsidP="00B105C3">
            <w:pPr>
              <w:spacing w:before="120" w:after="120" w:line="240" w:lineRule="auto"/>
              <w:jc w:val="both"/>
              <w:rPr>
                <w:rFonts w:ascii="Arial" w:eastAsia="Times New Roman" w:hAnsi="Arial" w:cs="Arial"/>
                <w:b/>
                <w:color w:val="323132"/>
                <w:sz w:val="20"/>
                <w:szCs w:val="20"/>
                <w:lang w:val="en-GB"/>
              </w:rPr>
            </w:pPr>
            <w:r w:rsidRPr="00172430">
              <w:rPr>
                <w:rFonts w:ascii="Arial" w:eastAsia="Times New Roman" w:hAnsi="Arial" w:cs="Arial"/>
                <w:b/>
                <w:color w:val="323132"/>
                <w:sz w:val="20"/>
                <w:szCs w:val="20"/>
                <w:lang w:val="en-GB"/>
              </w:rPr>
              <w:t>Reporting:</w:t>
            </w:r>
          </w:p>
          <w:p w14:paraId="121636C8" w14:textId="3B64C7D1" w:rsidR="007F5068" w:rsidRPr="00172430" w:rsidRDefault="007F5068" w:rsidP="00B105C3">
            <w:pPr>
              <w:spacing w:before="120" w:after="120" w:line="240" w:lineRule="auto"/>
              <w:jc w:val="both"/>
              <w:rPr>
                <w:rFonts w:ascii="Arial" w:eastAsia="Times New Roman" w:hAnsi="Arial" w:cs="Arial"/>
                <w:color w:val="323132"/>
                <w:sz w:val="20"/>
                <w:szCs w:val="20"/>
                <w:lang w:val="en-GB"/>
              </w:rPr>
            </w:pPr>
            <w:r w:rsidRPr="00172430">
              <w:rPr>
                <w:rFonts w:ascii="Arial" w:hAnsi="Arial" w:cs="Arial"/>
                <w:color w:val="323132"/>
                <w:sz w:val="20"/>
                <w:szCs w:val="20"/>
              </w:rPr>
              <w:t>The expert will report to DTL and TL. In no circumstances, the expert shall make any commitment to the Client or any other project-related parties</w:t>
            </w:r>
            <w:r w:rsidR="00375D0F">
              <w:rPr>
                <w:rFonts w:ascii="Arial" w:hAnsi="Arial" w:cs="Arial"/>
                <w:color w:val="323132"/>
                <w:sz w:val="20"/>
                <w:szCs w:val="20"/>
              </w:rPr>
              <w:t xml:space="preserve"> </w:t>
            </w:r>
            <w:r w:rsidRPr="00172430">
              <w:rPr>
                <w:rFonts w:ascii="Arial" w:hAnsi="Arial" w:cs="Arial"/>
                <w:color w:val="323132"/>
                <w:sz w:val="20"/>
                <w:szCs w:val="20"/>
              </w:rPr>
              <w:t>that</w:t>
            </w:r>
            <w:r w:rsidR="00375D0F">
              <w:rPr>
                <w:rFonts w:ascii="Arial" w:hAnsi="Arial" w:cs="Arial"/>
                <w:color w:val="323132"/>
                <w:sz w:val="20"/>
                <w:szCs w:val="20"/>
              </w:rPr>
              <w:t xml:space="preserve"> might </w:t>
            </w:r>
            <w:r w:rsidRPr="00172430">
              <w:rPr>
                <w:rFonts w:ascii="Arial" w:hAnsi="Arial" w:cs="Arial"/>
                <w:color w:val="323132"/>
                <w:sz w:val="20"/>
                <w:szCs w:val="20"/>
              </w:rPr>
              <w:t xml:space="preserve">have an impact on contract implementation or </w:t>
            </w:r>
            <w:r w:rsidR="00375D0F">
              <w:rPr>
                <w:rFonts w:ascii="Arial" w:hAnsi="Arial" w:cs="Arial"/>
                <w:color w:val="323132"/>
                <w:sz w:val="20"/>
                <w:szCs w:val="20"/>
              </w:rPr>
              <w:t xml:space="preserve">this </w:t>
            </w:r>
            <w:r w:rsidRPr="00172430">
              <w:rPr>
                <w:rFonts w:ascii="Arial" w:hAnsi="Arial" w:cs="Arial"/>
                <w:color w:val="323132"/>
                <w:sz w:val="20"/>
                <w:szCs w:val="20"/>
              </w:rPr>
              <w:t>assignment. Should such a situation arise, the expert should immediately contact the Team Leader for guidance</w:t>
            </w:r>
            <w:r w:rsidRPr="00172430">
              <w:rPr>
                <w:rFonts w:ascii="Arial" w:eastAsia="Times New Roman" w:hAnsi="Arial" w:cs="Arial"/>
                <w:color w:val="323132"/>
                <w:sz w:val="20"/>
                <w:szCs w:val="20"/>
                <w:lang w:val="en-GB"/>
              </w:rPr>
              <w:t>.</w:t>
            </w:r>
          </w:p>
        </w:tc>
      </w:tr>
      <w:tr w:rsidR="007F5068" w:rsidRPr="00172430" w14:paraId="513C4063" w14:textId="77777777" w:rsidTr="00B04EBB">
        <w:tc>
          <w:tcPr>
            <w:tcW w:w="9356" w:type="dxa"/>
            <w:gridSpan w:val="2"/>
          </w:tcPr>
          <w:p w14:paraId="28DBB03E" w14:textId="4D92209B" w:rsidR="007F5068" w:rsidRPr="00172430" w:rsidRDefault="007F5068" w:rsidP="00B105C3">
            <w:pPr>
              <w:spacing w:before="120" w:after="120" w:line="240" w:lineRule="auto"/>
              <w:jc w:val="both"/>
              <w:rPr>
                <w:rFonts w:ascii="Arial" w:eastAsia="Times New Roman" w:hAnsi="Arial" w:cs="Arial"/>
                <w:b/>
                <w:color w:val="323132"/>
                <w:sz w:val="20"/>
                <w:szCs w:val="20"/>
                <w:lang w:val="en-GB"/>
              </w:rPr>
            </w:pPr>
            <w:r w:rsidRPr="00172430">
              <w:rPr>
                <w:rFonts w:ascii="Arial" w:eastAsia="Times New Roman" w:hAnsi="Arial" w:cs="Arial"/>
                <w:b/>
                <w:color w:val="323132"/>
                <w:sz w:val="20"/>
                <w:szCs w:val="20"/>
                <w:lang w:val="en-GB"/>
              </w:rPr>
              <w:t>Expert Profile:</w:t>
            </w:r>
          </w:p>
          <w:p w14:paraId="35E4F583" w14:textId="77777777" w:rsidR="007F5068" w:rsidRPr="00172430" w:rsidRDefault="007F5068" w:rsidP="00B105C3">
            <w:pPr>
              <w:spacing w:before="120" w:after="120" w:line="240" w:lineRule="auto"/>
              <w:rPr>
                <w:rFonts w:ascii="Arial" w:hAnsi="Arial" w:cs="Arial"/>
                <w:color w:val="323132"/>
                <w:sz w:val="20"/>
                <w:szCs w:val="20"/>
              </w:rPr>
            </w:pPr>
            <w:r w:rsidRPr="00172430">
              <w:rPr>
                <w:rFonts w:ascii="Arial" w:hAnsi="Arial" w:cs="Arial"/>
                <w:color w:val="323132"/>
                <w:sz w:val="20"/>
                <w:szCs w:val="20"/>
              </w:rPr>
              <w:t>AS PER SELECTION SHEET</w:t>
            </w:r>
          </w:p>
          <w:p w14:paraId="2BAB7397" w14:textId="77777777" w:rsidR="007F5068" w:rsidRPr="00172430" w:rsidRDefault="007F5068" w:rsidP="00B105C3">
            <w:pPr>
              <w:spacing w:before="120" w:after="120" w:line="240" w:lineRule="auto"/>
              <w:rPr>
                <w:rFonts w:ascii="Arial" w:hAnsi="Arial" w:cs="Arial"/>
                <w:color w:val="323132"/>
                <w:sz w:val="20"/>
                <w:szCs w:val="20"/>
              </w:rPr>
            </w:pPr>
            <w:r w:rsidRPr="00172430">
              <w:rPr>
                <w:rFonts w:ascii="Arial" w:hAnsi="Arial" w:cs="Arial"/>
                <w:color w:val="323132"/>
                <w:sz w:val="20"/>
                <w:szCs w:val="20"/>
              </w:rPr>
              <w:t>Qualifications and skills: (25 points)</w:t>
            </w:r>
          </w:p>
          <w:p w14:paraId="6B7E28E4" w14:textId="72DDA375" w:rsidR="007F5068" w:rsidRPr="00172430" w:rsidRDefault="007F5068" w:rsidP="00B105C3">
            <w:pPr>
              <w:numPr>
                <w:ilvl w:val="0"/>
                <w:numId w:val="21"/>
              </w:numPr>
              <w:spacing w:before="120" w:after="120" w:line="240" w:lineRule="auto"/>
              <w:rPr>
                <w:rFonts w:ascii="Arial" w:hAnsi="Arial" w:cs="Arial"/>
                <w:color w:val="323132"/>
                <w:sz w:val="20"/>
                <w:szCs w:val="20"/>
              </w:rPr>
            </w:pPr>
            <w:r w:rsidRPr="00172430">
              <w:rPr>
                <w:rFonts w:ascii="Arial" w:hAnsi="Arial" w:cs="Arial"/>
                <w:color w:val="323132"/>
                <w:sz w:val="20"/>
                <w:szCs w:val="20"/>
              </w:rPr>
              <w:t xml:space="preserve">University degree in </w:t>
            </w:r>
            <w:r w:rsidR="002B1D21">
              <w:rPr>
                <w:rFonts w:ascii="Arial" w:hAnsi="Arial" w:cs="Arial"/>
                <w:color w:val="323132"/>
                <w:sz w:val="20"/>
                <w:szCs w:val="20"/>
              </w:rPr>
              <w:t>Hydrogeology or Geology</w:t>
            </w:r>
            <w:r w:rsidRPr="00172430">
              <w:rPr>
                <w:rFonts w:ascii="Arial" w:hAnsi="Arial" w:cs="Arial"/>
                <w:color w:val="323132"/>
                <w:sz w:val="20"/>
                <w:szCs w:val="20"/>
              </w:rPr>
              <w:t>;</w:t>
            </w:r>
          </w:p>
          <w:p w14:paraId="61F3A624" w14:textId="77777777" w:rsidR="007F5068" w:rsidRPr="00172430" w:rsidRDefault="007F5068" w:rsidP="00B105C3">
            <w:pPr>
              <w:numPr>
                <w:ilvl w:val="0"/>
                <w:numId w:val="21"/>
              </w:numPr>
              <w:spacing w:before="120" w:after="120" w:line="240" w:lineRule="auto"/>
              <w:rPr>
                <w:rFonts w:ascii="Arial" w:hAnsi="Arial" w:cs="Arial"/>
                <w:color w:val="323132"/>
                <w:sz w:val="20"/>
                <w:szCs w:val="20"/>
              </w:rPr>
            </w:pPr>
            <w:r w:rsidRPr="00172430">
              <w:rPr>
                <w:rFonts w:ascii="Arial" w:hAnsi="Arial" w:cs="Arial"/>
                <w:color w:val="323132"/>
                <w:sz w:val="20"/>
                <w:szCs w:val="20"/>
              </w:rPr>
              <w:lastRenderedPageBreak/>
              <w:t xml:space="preserve">Working level of English, both spoken and written </w:t>
            </w:r>
          </w:p>
          <w:p w14:paraId="5B39A1E5" w14:textId="77777777" w:rsidR="007F5068" w:rsidRPr="00172430" w:rsidRDefault="007F5068" w:rsidP="00B105C3">
            <w:pPr>
              <w:numPr>
                <w:ilvl w:val="0"/>
                <w:numId w:val="21"/>
              </w:numPr>
              <w:spacing w:before="120" w:after="120" w:line="240" w:lineRule="auto"/>
              <w:rPr>
                <w:rFonts w:ascii="Arial" w:hAnsi="Arial" w:cs="Arial"/>
                <w:color w:val="323132"/>
                <w:sz w:val="20"/>
                <w:szCs w:val="20"/>
              </w:rPr>
            </w:pPr>
            <w:r w:rsidRPr="00172430">
              <w:rPr>
                <w:rFonts w:ascii="Arial" w:hAnsi="Arial" w:cs="Arial"/>
                <w:color w:val="323132"/>
                <w:sz w:val="20"/>
                <w:szCs w:val="20"/>
              </w:rPr>
              <w:t>Basic computer literacy (MS Office applications).</w:t>
            </w:r>
          </w:p>
          <w:p w14:paraId="4D04C0D5" w14:textId="77777777" w:rsidR="007F5068" w:rsidRPr="00172430" w:rsidRDefault="007F5068" w:rsidP="00B105C3">
            <w:pPr>
              <w:spacing w:before="120" w:after="120" w:line="240" w:lineRule="auto"/>
              <w:rPr>
                <w:rFonts w:ascii="Arial" w:hAnsi="Arial" w:cs="Arial"/>
                <w:color w:val="323132"/>
                <w:sz w:val="20"/>
                <w:szCs w:val="20"/>
              </w:rPr>
            </w:pPr>
            <w:r w:rsidRPr="00172430">
              <w:rPr>
                <w:rFonts w:ascii="Arial" w:hAnsi="Arial" w:cs="Arial"/>
                <w:color w:val="323132"/>
                <w:sz w:val="20"/>
                <w:szCs w:val="20"/>
              </w:rPr>
              <w:t>General professional experience: (25 points)</w:t>
            </w:r>
          </w:p>
          <w:p w14:paraId="4A6681C5" w14:textId="4682DEF2" w:rsidR="007F5068" w:rsidRPr="00172430" w:rsidRDefault="007F5068" w:rsidP="00B105C3">
            <w:pPr>
              <w:numPr>
                <w:ilvl w:val="0"/>
                <w:numId w:val="21"/>
              </w:numPr>
              <w:spacing w:before="120" w:after="120" w:line="240" w:lineRule="auto"/>
              <w:rPr>
                <w:rFonts w:ascii="Arial" w:hAnsi="Arial" w:cs="Arial"/>
                <w:color w:val="323132"/>
                <w:sz w:val="20"/>
                <w:szCs w:val="20"/>
              </w:rPr>
            </w:pPr>
            <w:r w:rsidRPr="00172430">
              <w:rPr>
                <w:rFonts w:ascii="Arial" w:hAnsi="Arial" w:cs="Arial"/>
                <w:color w:val="323132"/>
                <w:sz w:val="20"/>
                <w:szCs w:val="20"/>
              </w:rPr>
              <w:t>Minimum 10 years of general working experience;</w:t>
            </w:r>
          </w:p>
          <w:p w14:paraId="598D4CF7" w14:textId="25AFBA8A" w:rsidR="007F5068" w:rsidRPr="00172430" w:rsidRDefault="007F5068" w:rsidP="00B105C3">
            <w:pPr>
              <w:numPr>
                <w:ilvl w:val="0"/>
                <w:numId w:val="21"/>
              </w:numPr>
              <w:spacing w:before="120" w:after="120" w:line="240" w:lineRule="auto"/>
              <w:rPr>
                <w:rFonts w:ascii="Arial" w:hAnsi="Arial" w:cs="Arial"/>
                <w:color w:val="323132"/>
                <w:sz w:val="20"/>
                <w:szCs w:val="20"/>
              </w:rPr>
            </w:pPr>
            <w:r w:rsidRPr="00172430">
              <w:rPr>
                <w:rFonts w:ascii="Arial" w:hAnsi="Arial" w:cs="Arial"/>
                <w:color w:val="323132"/>
                <w:sz w:val="20"/>
                <w:szCs w:val="20"/>
              </w:rPr>
              <w:t xml:space="preserve">Minimum 7 years of working experience in the field of hydrology analysis and modelling; </w:t>
            </w:r>
          </w:p>
          <w:p w14:paraId="1CCE76E0" w14:textId="77777777" w:rsidR="007F5068" w:rsidRPr="00172430" w:rsidRDefault="007F5068" w:rsidP="00B105C3">
            <w:pPr>
              <w:spacing w:before="120" w:after="120" w:line="240" w:lineRule="auto"/>
              <w:rPr>
                <w:rFonts w:ascii="Arial" w:hAnsi="Arial" w:cs="Arial"/>
                <w:color w:val="323132"/>
                <w:sz w:val="20"/>
                <w:szCs w:val="20"/>
              </w:rPr>
            </w:pPr>
            <w:r w:rsidRPr="00172430">
              <w:rPr>
                <w:rFonts w:ascii="Arial" w:hAnsi="Arial" w:cs="Arial"/>
                <w:color w:val="323132"/>
                <w:sz w:val="20"/>
                <w:szCs w:val="20"/>
              </w:rPr>
              <w:t>Specific professional experience: (50 points)</w:t>
            </w:r>
          </w:p>
          <w:p w14:paraId="507FD240" w14:textId="7B9CF5A2" w:rsidR="007F5068" w:rsidRPr="00172430" w:rsidRDefault="007F5068" w:rsidP="00B105C3">
            <w:pPr>
              <w:pStyle w:val="ListParagraph"/>
              <w:numPr>
                <w:ilvl w:val="0"/>
                <w:numId w:val="21"/>
              </w:numPr>
              <w:spacing w:before="120" w:after="120" w:line="240" w:lineRule="auto"/>
              <w:contextualSpacing w:val="0"/>
              <w:jc w:val="both"/>
              <w:rPr>
                <w:rFonts w:ascii="Arial" w:eastAsia="Times New Roman" w:hAnsi="Arial" w:cs="Arial"/>
                <w:b/>
                <w:color w:val="323132"/>
                <w:sz w:val="20"/>
                <w:szCs w:val="20"/>
                <w:lang w:val="en-GB"/>
              </w:rPr>
            </w:pPr>
            <w:r w:rsidRPr="00172430">
              <w:rPr>
                <w:rFonts w:ascii="Arial" w:hAnsi="Arial" w:cs="Arial"/>
                <w:color w:val="323132"/>
                <w:sz w:val="20"/>
                <w:szCs w:val="20"/>
              </w:rPr>
              <w:t>Strong professional experience in project management of hydro</w:t>
            </w:r>
            <w:r w:rsidR="002B1D21">
              <w:rPr>
                <w:rFonts w:ascii="Arial" w:hAnsi="Arial" w:cs="Arial"/>
                <w:color w:val="323132"/>
                <w:sz w:val="20"/>
                <w:szCs w:val="20"/>
              </w:rPr>
              <w:t xml:space="preserve">geological and EIA </w:t>
            </w:r>
            <w:r w:rsidRPr="00172430">
              <w:rPr>
                <w:rFonts w:ascii="Arial" w:hAnsi="Arial" w:cs="Arial"/>
                <w:color w:val="323132"/>
                <w:sz w:val="20"/>
                <w:szCs w:val="20"/>
              </w:rPr>
              <w:t>studies</w:t>
            </w:r>
            <w:r w:rsidRPr="00172430">
              <w:rPr>
                <w:rFonts w:ascii="Arial" w:eastAsia="Times New Roman" w:hAnsi="Arial" w:cs="Arial"/>
                <w:color w:val="323132"/>
                <w:sz w:val="20"/>
                <w:szCs w:val="20"/>
                <w:lang w:val="en-GB"/>
              </w:rPr>
              <w:t>;</w:t>
            </w:r>
          </w:p>
          <w:p w14:paraId="52B1B133" w14:textId="296E524C" w:rsidR="007F5068" w:rsidRPr="00172430" w:rsidRDefault="007F5068" w:rsidP="00B105C3">
            <w:pPr>
              <w:numPr>
                <w:ilvl w:val="0"/>
                <w:numId w:val="21"/>
              </w:numPr>
              <w:spacing w:before="120" w:after="120" w:line="240" w:lineRule="auto"/>
              <w:rPr>
                <w:rFonts w:ascii="Arial" w:hAnsi="Arial" w:cs="Arial"/>
                <w:color w:val="323132"/>
                <w:sz w:val="20"/>
                <w:szCs w:val="20"/>
              </w:rPr>
            </w:pPr>
            <w:r w:rsidRPr="00172430">
              <w:rPr>
                <w:rFonts w:ascii="Arial" w:hAnsi="Arial" w:cs="Arial"/>
                <w:color w:val="323132"/>
                <w:sz w:val="20"/>
                <w:szCs w:val="20"/>
              </w:rPr>
              <w:t xml:space="preserve">Strong professional experience in </w:t>
            </w:r>
            <w:r w:rsidR="002B1D21">
              <w:rPr>
                <w:rFonts w:ascii="Arial" w:hAnsi="Arial" w:cs="Arial"/>
                <w:color w:val="323132"/>
                <w:sz w:val="20"/>
                <w:szCs w:val="20"/>
              </w:rPr>
              <w:t>preparation of F</w:t>
            </w:r>
            <w:r w:rsidR="00A91689">
              <w:rPr>
                <w:rFonts w:ascii="Arial" w:hAnsi="Arial" w:cs="Arial"/>
                <w:color w:val="323132"/>
                <w:sz w:val="20"/>
                <w:szCs w:val="20"/>
              </w:rPr>
              <w:t>e</w:t>
            </w:r>
            <w:r w:rsidR="002B1D21">
              <w:rPr>
                <w:rFonts w:ascii="Arial" w:hAnsi="Arial" w:cs="Arial"/>
                <w:color w:val="323132"/>
                <w:sz w:val="20"/>
                <w:szCs w:val="20"/>
              </w:rPr>
              <w:t>asibilty Studies;</w:t>
            </w:r>
            <w:r w:rsidRPr="00172430">
              <w:rPr>
                <w:rFonts w:ascii="Arial" w:hAnsi="Arial" w:cs="Arial"/>
                <w:color w:val="323132"/>
                <w:sz w:val="20"/>
                <w:szCs w:val="20"/>
              </w:rPr>
              <w:t xml:space="preserve"> </w:t>
            </w:r>
          </w:p>
          <w:p w14:paraId="05E7C41A" w14:textId="37B4FD07" w:rsidR="007F5068" w:rsidRPr="00172430" w:rsidRDefault="007F5068" w:rsidP="00B105C3">
            <w:pPr>
              <w:numPr>
                <w:ilvl w:val="0"/>
                <w:numId w:val="21"/>
              </w:numPr>
              <w:spacing w:before="120" w:after="120" w:line="240" w:lineRule="auto"/>
              <w:rPr>
                <w:rFonts w:ascii="Arial" w:hAnsi="Arial" w:cs="Arial"/>
                <w:color w:val="323132"/>
                <w:sz w:val="20"/>
                <w:szCs w:val="20"/>
              </w:rPr>
            </w:pPr>
            <w:r w:rsidRPr="00172430">
              <w:rPr>
                <w:rFonts w:ascii="Arial" w:hAnsi="Arial" w:cs="Arial"/>
                <w:color w:val="323132"/>
                <w:sz w:val="20"/>
                <w:szCs w:val="20"/>
              </w:rPr>
              <w:t>Comprehensive knowledge of EU and Serbian legislation related to the hydro</w:t>
            </w:r>
            <w:r w:rsidR="002B1D21">
              <w:rPr>
                <w:rFonts w:ascii="Arial" w:hAnsi="Arial" w:cs="Arial"/>
                <w:color w:val="323132"/>
                <w:sz w:val="20"/>
                <w:szCs w:val="20"/>
              </w:rPr>
              <w:t>ge</w:t>
            </w:r>
            <w:r w:rsidRPr="00172430">
              <w:rPr>
                <w:rFonts w:ascii="Arial" w:hAnsi="Arial" w:cs="Arial"/>
                <w:color w:val="323132"/>
                <w:sz w:val="20"/>
                <w:szCs w:val="20"/>
              </w:rPr>
              <w:t xml:space="preserve">logic </w:t>
            </w:r>
            <w:r w:rsidR="002B1D21">
              <w:rPr>
                <w:rFonts w:ascii="Arial" w:hAnsi="Arial" w:cs="Arial"/>
                <w:color w:val="323132"/>
                <w:sz w:val="20"/>
                <w:szCs w:val="20"/>
              </w:rPr>
              <w:t xml:space="preserve">and EIA </w:t>
            </w:r>
            <w:r w:rsidRPr="00172430">
              <w:rPr>
                <w:rFonts w:ascii="Arial" w:hAnsi="Arial" w:cs="Arial"/>
                <w:color w:val="323132"/>
                <w:sz w:val="20"/>
                <w:szCs w:val="20"/>
              </w:rPr>
              <w:t>analysis</w:t>
            </w:r>
            <w:r w:rsidR="002B1D21">
              <w:rPr>
                <w:rFonts w:ascii="Arial" w:hAnsi="Arial" w:cs="Arial"/>
                <w:color w:val="323132"/>
                <w:sz w:val="20"/>
                <w:szCs w:val="20"/>
              </w:rPr>
              <w:t>;</w:t>
            </w:r>
          </w:p>
          <w:p w14:paraId="4D625AA5" w14:textId="512540C4" w:rsidR="007F5068" w:rsidRPr="00172430" w:rsidRDefault="007F5068" w:rsidP="00B105C3">
            <w:pPr>
              <w:pStyle w:val="ListParagraph"/>
              <w:numPr>
                <w:ilvl w:val="0"/>
                <w:numId w:val="21"/>
              </w:numPr>
              <w:spacing w:before="120" w:after="120" w:line="240" w:lineRule="auto"/>
              <w:contextualSpacing w:val="0"/>
              <w:jc w:val="both"/>
              <w:rPr>
                <w:rFonts w:ascii="Arial" w:eastAsia="Times New Roman" w:hAnsi="Arial" w:cs="Arial"/>
                <w:b/>
                <w:color w:val="323132"/>
                <w:sz w:val="20"/>
                <w:szCs w:val="20"/>
                <w:lang w:val="en-GB"/>
              </w:rPr>
            </w:pPr>
            <w:r w:rsidRPr="00172430">
              <w:rPr>
                <w:rFonts w:ascii="Arial" w:hAnsi="Arial" w:cs="Arial"/>
                <w:color w:val="323132"/>
                <w:sz w:val="20"/>
                <w:szCs w:val="20"/>
              </w:rPr>
              <w:t>Knowledge of Serbian language is an asset</w:t>
            </w:r>
          </w:p>
        </w:tc>
      </w:tr>
      <w:tr w:rsidR="007F5068" w:rsidRPr="00754C88" w14:paraId="50B75C77" w14:textId="77777777" w:rsidTr="00B04EBB">
        <w:tc>
          <w:tcPr>
            <w:tcW w:w="9356" w:type="dxa"/>
            <w:gridSpan w:val="2"/>
          </w:tcPr>
          <w:p w14:paraId="670E867C" w14:textId="77777777" w:rsidR="007F5068" w:rsidRPr="00172430" w:rsidRDefault="007F5068" w:rsidP="00B105C3">
            <w:pPr>
              <w:spacing w:before="120" w:after="120" w:line="240" w:lineRule="auto"/>
              <w:jc w:val="both"/>
              <w:rPr>
                <w:rFonts w:ascii="Arial" w:eastAsia="Times New Roman" w:hAnsi="Arial" w:cs="Arial"/>
                <w:b/>
                <w:color w:val="323132"/>
                <w:sz w:val="20"/>
                <w:szCs w:val="20"/>
                <w:lang w:val="en-GB"/>
              </w:rPr>
            </w:pPr>
          </w:p>
          <w:p w14:paraId="159BD41E" w14:textId="77777777" w:rsidR="006A3533" w:rsidRPr="006A3533" w:rsidRDefault="006A3533" w:rsidP="006A3533">
            <w:pPr>
              <w:spacing w:beforeLines="60" w:before="144" w:afterLines="60" w:after="144" w:line="240" w:lineRule="auto"/>
              <w:jc w:val="both"/>
              <w:rPr>
                <w:rFonts w:ascii="Arial" w:eastAsia="Times New Roman" w:hAnsi="Arial" w:cs="Arial"/>
                <w:b/>
                <w:color w:val="323132"/>
                <w:sz w:val="20"/>
                <w:szCs w:val="20"/>
                <w:lang w:val="en-GB"/>
              </w:rPr>
            </w:pPr>
            <w:r w:rsidRPr="006A3533">
              <w:rPr>
                <w:rFonts w:ascii="Arial" w:eastAsia="Times New Roman" w:hAnsi="Arial" w:cs="Arial"/>
                <w:b/>
                <w:color w:val="323132"/>
                <w:sz w:val="20"/>
                <w:szCs w:val="20"/>
                <w:lang w:val="en-GB"/>
              </w:rPr>
              <w:t xml:space="preserve">Applications: </w:t>
            </w:r>
          </w:p>
          <w:p w14:paraId="16252EE2" w14:textId="35CB9670" w:rsidR="006A3533" w:rsidRPr="006A3533" w:rsidRDefault="006A3533" w:rsidP="00B02039">
            <w:pPr>
              <w:spacing w:before="240" w:after="0" w:line="360" w:lineRule="auto"/>
              <w:jc w:val="both"/>
              <w:rPr>
                <w:rFonts w:ascii="Calibri" w:eastAsia="Calibri" w:hAnsi="Calibri" w:cs="Arial"/>
              </w:rPr>
            </w:pPr>
            <w:r w:rsidRPr="006A3533">
              <w:rPr>
                <w:rFonts w:ascii="Arial" w:eastAsia="Times New Roman" w:hAnsi="Arial" w:cs="Arial"/>
                <w:color w:val="323132"/>
                <w:sz w:val="20"/>
                <w:szCs w:val="20"/>
                <w:lang w:val="en-GB"/>
              </w:rPr>
              <w:t xml:space="preserve">CV in EU format in English needs to be submitted by e-mail to </w:t>
            </w:r>
            <w:r w:rsidRPr="006A3533">
              <w:rPr>
                <w:rFonts w:ascii="Arial" w:eastAsia="Times New Roman" w:hAnsi="Arial" w:cs="Arial"/>
                <w:color w:val="0563C1" w:themeColor="hyperlink"/>
                <w:sz w:val="20"/>
                <w:szCs w:val="20"/>
                <w:u w:val="single"/>
                <w:lang w:val="en-GB"/>
              </w:rPr>
              <w:t>iljcho.jovanoski@wsp.com</w:t>
            </w:r>
            <w:r w:rsidRPr="006A3533">
              <w:rPr>
                <w:rFonts w:ascii="Arial" w:eastAsia="Times New Roman" w:hAnsi="Arial" w:cs="Arial"/>
                <w:color w:val="323132"/>
                <w:sz w:val="20"/>
                <w:szCs w:val="20"/>
                <w:lang w:val="en-GB"/>
              </w:rPr>
              <w:t xml:space="preserve"> and </w:t>
            </w:r>
            <w:r w:rsidRPr="006A3533">
              <w:rPr>
                <w:rFonts w:ascii="Arial" w:eastAsia="Times New Roman" w:hAnsi="Arial" w:cs="Arial"/>
                <w:color w:val="0563C1" w:themeColor="hyperlink"/>
                <w:sz w:val="20"/>
                <w:szCs w:val="20"/>
                <w:u w:val="single"/>
                <w:lang w:val="en-GB"/>
              </w:rPr>
              <w:t>ivan.rankovic2@w</w:t>
            </w:r>
            <w:r w:rsidRPr="006A3533">
              <w:rPr>
                <w:rFonts w:ascii="Arial" w:eastAsia="Times New Roman" w:hAnsi="Arial"/>
                <w:color w:val="0563C1" w:themeColor="hyperlink"/>
                <w:sz w:val="20"/>
                <w:szCs w:val="20"/>
                <w:u w:val="single"/>
                <w:lang w:val="en-GB"/>
              </w:rPr>
              <w:t>sp.c</w:t>
            </w:r>
            <w:r>
              <w:rPr>
                <w:rFonts w:ascii="Arial" w:eastAsia="Times New Roman" w:hAnsi="Arial"/>
                <w:color w:val="0563C1" w:themeColor="hyperlink"/>
                <w:sz w:val="20"/>
                <w:szCs w:val="20"/>
                <w:u w:val="single"/>
                <w:lang w:val="en-GB"/>
              </w:rPr>
              <w:t>om</w:t>
            </w:r>
            <w:r w:rsidRPr="006A3533">
              <w:rPr>
                <w:rFonts w:ascii="Arial" w:eastAsia="Times New Roman" w:hAnsi="Arial" w:cs="Arial"/>
                <w:color w:val="323132"/>
                <w:sz w:val="20"/>
                <w:szCs w:val="20"/>
                <w:lang w:val="en-GB"/>
              </w:rPr>
              <w:t xml:space="preserve"> no later than </w:t>
            </w:r>
            <w:r w:rsidR="009D25E7">
              <w:rPr>
                <w:rFonts w:ascii="Arial" w:eastAsia="Times New Roman" w:hAnsi="Arial" w:cs="Arial"/>
                <w:color w:val="323132"/>
                <w:sz w:val="20"/>
                <w:szCs w:val="20"/>
                <w:lang w:val="en-GB"/>
              </w:rPr>
              <w:t>21</w:t>
            </w:r>
            <w:r w:rsidR="009D25E7">
              <w:rPr>
                <w:rFonts w:ascii="Arial" w:eastAsia="Times New Roman" w:hAnsi="Arial" w:cs="Arial"/>
                <w:color w:val="323132"/>
                <w:sz w:val="20"/>
                <w:szCs w:val="20"/>
                <w:vertAlign w:val="superscript"/>
                <w:lang w:val="en-GB"/>
              </w:rPr>
              <w:t>st</w:t>
            </w:r>
            <w:r w:rsidRPr="006A3533">
              <w:rPr>
                <w:rFonts w:ascii="Arial" w:eastAsia="Times New Roman" w:hAnsi="Arial" w:cs="Arial"/>
                <w:color w:val="323132"/>
                <w:sz w:val="20"/>
                <w:szCs w:val="20"/>
                <w:lang w:val="en-GB"/>
              </w:rPr>
              <w:t xml:space="preserve"> of </w:t>
            </w:r>
            <w:r>
              <w:rPr>
                <w:rFonts w:ascii="Arial" w:eastAsia="Times New Roman" w:hAnsi="Arial" w:cs="Arial"/>
                <w:color w:val="323132"/>
                <w:sz w:val="20"/>
                <w:szCs w:val="20"/>
                <w:lang w:val="en-GB"/>
              </w:rPr>
              <w:t>December</w:t>
            </w:r>
            <w:r w:rsidRPr="006A3533">
              <w:rPr>
                <w:rFonts w:ascii="Arial" w:eastAsia="Times New Roman" w:hAnsi="Arial" w:cs="Arial"/>
                <w:color w:val="323132"/>
                <w:sz w:val="20"/>
                <w:szCs w:val="20"/>
                <w:lang w:val="en-GB"/>
              </w:rPr>
              <w:t xml:space="preserve"> 202</w:t>
            </w:r>
            <w:r>
              <w:rPr>
                <w:rFonts w:ascii="Arial" w:eastAsia="Times New Roman" w:hAnsi="Arial" w:cs="Arial"/>
                <w:color w:val="323132"/>
                <w:sz w:val="20"/>
                <w:szCs w:val="20"/>
                <w:lang w:val="en-GB"/>
              </w:rPr>
              <w:t>2</w:t>
            </w:r>
            <w:r w:rsidRPr="006A3533">
              <w:rPr>
                <w:rFonts w:ascii="Arial" w:eastAsia="Times New Roman" w:hAnsi="Arial" w:cs="Arial"/>
                <w:color w:val="323132"/>
                <w:sz w:val="20"/>
                <w:szCs w:val="20"/>
                <w:lang w:val="en-GB"/>
              </w:rPr>
              <w:t>, 16:00 hrs, titled: “Application for the position – Hydrogeologist”</w:t>
            </w:r>
          </w:p>
          <w:p w14:paraId="2B845F7B" w14:textId="77777777" w:rsidR="006A3533" w:rsidRPr="006A3533" w:rsidRDefault="006A3533" w:rsidP="00B02039">
            <w:pPr>
              <w:spacing w:before="240" w:after="0" w:line="360" w:lineRule="auto"/>
              <w:jc w:val="both"/>
              <w:rPr>
                <w:rFonts w:ascii="Arial" w:eastAsia="Times New Roman" w:hAnsi="Arial" w:cs="Arial"/>
                <w:color w:val="323132"/>
                <w:sz w:val="20"/>
                <w:szCs w:val="20"/>
                <w:lang w:val="en-GB"/>
              </w:rPr>
            </w:pPr>
            <w:r w:rsidRPr="006A3533">
              <w:rPr>
                <w:rFonts w:ascii="Arial" w:eastAsia="Times New Roman" w:hAnsi="Arial" w:cs="Arial"/>
                <w:color w:val="323132"/>
                <w:sz w:val="20"/>
                <w:szCs w:val="20"/>
                <w:lang w:val="en-GB"/>
              </w:rPr>
              <w:t xml:space="preserve">References must be available on request. Only short-listed candidates will be contacted. </w:t>
            </w:r>
          </w:p>
          <w:p w14:paraId="104FC130" w14:textId="77777777" w:rsidR="006A3533" w:rsidRPr="006A3533" w:rsidRDefault="006A3533" w:rsidP="00B02039">
            <w:pPr>
              <w:spacing w:before="240" w:after="0" w:line="360" w:lineRule="auto"/>
              <w:jc w:val="both"/>
              <w:rPr>
                <w:rFonts w:ascii="Arial" w:eastAsia="Times New Roman" w:hAnsi="Arial" w:cs="Arial"/>
                <w:color w:val="323132"/>
                <w:sz w:val="20"/>
                <w:szCs w:val="20"/>
                <w:lang w:val="en-GB"/>
              </w:rPr>
            </w:pPr>
            <w:r w:rsidRPr="006A3533">
              <w:rPr>
                <w:rFonts w:ascii="Arial" w:eastAsia="Times New Roman" w:hAnsi="Arial" w:cs="Arial"/>
                <w:color w:val="323132"/>
                <w:sz w:val="20"/>
                <w:szCs w:val="20"/>
                <w:lang w:val="en-GB"/>
              </w:rPr>
              <w:t xml:space="preserve">The Project is an equal opportunity employer. All applications will be considered strictly confidential. </w:t>
            </w:r>
          </w:p>
          <w:p w14:paraId="3C20C877" w14:textId="77777777" w:rsidR="007F5068" w:rsidRPr="00754C88" w:rsidRDefault="007F5068" w:rsidP="0079722E">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754C88" w:rsidRDefault="00D23A9A" w:rsidP="00B105C3">
      <w:pPr>
        <w:spacing w:before="120" w:after="120" w:line="240" w:lineRule="auto"/>
        <w:jc w:val="both"/>
        <w:rPr>
          <w:rFonts w:ascii="Arial" w:hAnsi="Arial" w:cs="Arial"/>
          <w:b/>
          <w:sz w:val="20"/>
          <w:szCs w:val="20"/>
          <w:lang w:val="en-GB"/>
        </w:rPr>
      </w:pPr>
    </w:p>
    <w:sectPr w:rsidR="00D23A9A" w:rsidRPr="00754C88" w:rsidSect="00FC43C6">
      <w:headerReference w:type="default" r:id="rId8"/>
      <w:footerReference w:type="default" r:id="rId9"/>
      <w:pgSz w:w="11906" w:h="16838" w:code="9"/>
      <w:pgMar w:top="2070" w:right="1440" w:bottom="1440" w:left="1440"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6A51" w14:textId="77777777" w:rsidR="00335A53" w:rsidRDefault="00335A53" w:rsidP="0069431C">
      <w:pPr>
        <w:spacing w:after="0" w:line="240" w:lineRule="auto"/>
      </w:pPr>
      <w:r>
        <w:separator/>
      </w:r>
    </w:p>
  </w:endnote>
  <w:endnote w:type="continuationSeparator" w:id="0">
    <w:p w14:paraId="6D4B5302" w14:textId="77777777" w:rsidR="00335A53" w:rsidRDefault="00335A53"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Spec="center" w:tblpY="15367"/>
      <w:tblOverlap w:val="never"/>
      <w:tblW w:w="10206" w:type="dxa"/>
      <w:tblLook w:val="04A0" w:firstRow="1" w:lastRow="0" w:firstColumn="1" w:lastColumn="0" w:noHBand="0" w:noVBand="1"/>
    </w:tblPr>
    <w:tblGrid>
      <w:gridCol w:w="2835"/>
      <w:gridCol w:w="6096"/>
      <w:gridCol w:w="1275"/>
    </w:tblGrid>
    <w:tr w:rsidR="00FC43C6" w:rsidRPr="00FC43C6" w14:paraId="35C65951" w14:textId="77777777" w:rsidTr="007908B4">
      <w:trPr>
        <w:trHeight w:val="397"/>
      </w:trPr>
      <w:tc>
        <w:tcPr>
          <w:tcW w:w="2835" w:type="dxa"/>
          <w:vMerge w:val="restart"/>
          <w:shd w:val="clear" w:color="auto" w:fill="auto"/>
          <w:tcMar>
            <w:left w:w="0" w:type="dxa"/>
            <w:right w:w="85" w:type="dxa"/>
          </w:tcMar>
          <w:vAlign w:val="center"/>
        </w:tcPr>
        <w:p w14:paraId="08410A20" w14:textId="77777777" w:rsidR="00FC43C6" w:rsidRPr="00FC43C6" w:rsidRDefault="00FC43C6" w:rsidP="00FC43C6">
          <w:pPr>
            <w:tabs>
              <w:tab w:val="center" w:pos="4680"/>
              <w:tab w:val="right" w:pos="9360"/>
            </w:tabs>
            <w:spacing w:after="0" w:line="240" w:lineRule="auto"/>
            <w:rPr>
              <w:rFonts w:ascii="Calibri" w:eastAsia="Calibri" w:hAnsi="Calibri" w:cs="Arial"/>
            </w:rPr>
          </w:pPr>
          <w:r w:rsidRPr="00FC43C6">
            <w:rPr>
              <w:rFonts w:ascii="Calibri" w:eastAsia="Calibri" w:hAnsi="Calibri" w:cs="Arial"/>
              <w:noProof/>
            </w:rPr>
            <w:drawing>
              <wp:inline distT="0" distB="0" distL="0" distR="0" wp14:anchorId="36741E8C" wp14:editId="1FC4B694">
                <wp:extent cx="1693545" cy="47688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476885"/>
                        </a:xfrm>
                        <a:prstGeom prst="rect">
                          <a:avLst/>
                        </a:prstGeom>
                        <a:noFill/>
                        <a:ln>
                          <a:noFill/>
                        </a:ln>
                      </pic:spPr>
                    </pic:pic>
                  </a:graphicData>
                </a:graphic>
              </wp:inline>
            </w:drawing>
          </w:r>
        </w:p>
      </w:tc>
      <w:tc>
        <w:tcPr>
          <w:tcW w:w="6096" w:type="dxa"/>
          <w:shd w:val="clear" w:color="auto" w:fill="auto"/>
          <w:vAlign w:val="center"/>
        </w:tcPr>
        <w:p w14:paraId="422E34F5" w14:textId="77777777" w:rsidR="00FC43C6" w:rsidRPr="00FC43C6" w:rsidRDefault="00FC43C6" w:rsidP="00FC43C6">
          <w:pPr>
            <w:tabs>
              <w:tab w:val="center" w:pos="4680"/>
              <w:tab w:val="right" w:pos="9360"/>
            </w:tabs>
            <w:spacing w:after="0" w:line="240" w:lineRule="auto"/>
            <w:rPr>
              <w:rFonts w:ascii="Calibri" w:eastAsia="Calibri" w:hAnsi="Calibri" w:cs="Arial"/>
            </w:rPr>
          </w:pPr>
        </w:p>
      </w:tc>
      <w:tc>
        <w:tcPr>
          <w:tcW w:w="1275" w:type="dxa"/>
          <w:shd w:val="clear" w:color="auto" w:fill="C00000"/>
          <w:vAlign w:val="center"/>
        </w:tcPr>
        <w:p w14:paraId="01B271DA" w14:textId="77777777" w:rsidR="00FC43C6" w:rsidRPr="00FC43C6" w:rsidRDefault="00FC43C6" w:rsidP="00FC43C6">
          <w:pPr>
            <w:tabs>
              <w:tab w:val="center" w:pos="4680"/>
              <w:tab w:val="right" w:pos="9360"/>
            </w:tabs>
            <w:spacing w:after="0" w:line="240" w:lineRule="auto"/>
            <w:jc w:val="center"/>
            <w:rPr>
              <w:rFonts w:ascii="Arial Narrow" w:eastAsia="Calibri" w:hAnsi="Arial Narrow" w:cs="Arial"/>
              <w:color w:val="FFFFFF"/>
              <w:sz w:val="14"/>
              <w:lang w:val="sr-Cyrl-RS"/>
            </w:rPr>
          </w:pPr>
          <w:r w:rsidRPr="00FC43C6">
            <w:rPr>
              <w:rFonts w:ascii="Arial Narrow" w:eastAsia="Calibri" w:hAnsi="Arial Narrow" w:cs="Arial"/>
              <w:color w:val="FFFFFF"/>
              <w:sz w:val="14"/>
              <w:lang w:val="sr-Cyrl-RS"/>
            </w:rPr>
            <w:t xml:space="preserve">Page </w:t>
          </w:r>
          <w:r w:rsidRPr="00FC43C6">
            <w:rPr>
              <w:rFonts w:ascii="Arial Narrow" w:eastAsia="Calibri" w:hAnsi="Arial Narrow" w:cs="Arial"/>
              <w:b/>
              <w:bCs/>
              <w:color w:val="FFFFFF"/>
              <w:sz w:val="14"/>
              <w:lang w:val="sr-Cyrl-RS"/>
            </w:rPr>
            <w:fldChar w:fldCharType="begin"/>
          </w:r>
          <w:r w:rsidRPr="00FC43C6">
            <w:rPr>
              <w:rFonts w:ascii="Arial Narrow" w:eastAsia="Calibri" w:hAnsi="Arial Narrow" w:cs="Arial"/>
              <w:b/>
              <w:bCs/>
              <w:color w:val="FFFFFF"/>
              <w:sz w:val="14"/>
              <w:lang w:val="sr-Cyrl-RS"/>
            </w:rPr>
            <w:instrText xml:space="preserve"> PAGE  \* Arabic  \* MERGEFORMAT </w:instrText>
          </w:r>
          <w:r w:rsidRPr="00FC43C6">
            <w:rPr>
              <w:rFonts w:ascii="Arial Narrow" w:eastAsia="Calibri" w:hAnsi="Arial Narrow" w:cs="Arial"/>
              <w:b/>
              <w:bCs/>
              <w:color w:val="FFFFFF"/>
              <w:sz w:val="14"/>
              <w:lang w:val="sr-Cyrl-RS"/>
            </w:rPr>
            <w:fldChar w:fldCharType="separate"/>
          </w:r>
          <w:r w:rsidRPr="00FC43C6">
            <w:rPr>
              <w:rFonts w:ascii="Arial Narrow" w:eastAsia="Calibri" w:hAnsi="Arial Narrow" w:cs="Arial"/>
              <w:b/>
              <w:bCs/>
              <w:noProof/>
              <w:color w:val="FFFFFF"/>
              <w:sz w:val="14"/>
              <w:lang w:val="sr-Cyrl-RS"/>
            </w:rPr>
            <w:t>2</w:t>
          </w:r>
          <w:r w:rsidRPr="00FC43C6">
            <w:rPr>
              <w:rFonts w:ascii="Arial Narrow" w:eastAsia="Calibri" w:hAnsi="Arial Narrow" w:cs="Arial"/>
              <w:b/>
              <w:bCs/>
              <w:color w:val="FFFFFF"/>
              <w:sz w:val="14"/>
              <w:lang w:val="sr-Cyrl-RS"/>
            </w:rPr>
            <w:fldChar w:fldCharType="end"/>
          </w:r>
          <w:r w:rsidRPr="00FC43C6">
            <w:rPr>
              <w:rFonts w:ascii="Arial Narrow" w:eastAsia="Calibri" w:hAnsi="Arial Narrow" w:cs="Arial"/>
              <w:color w:val="FFFFFF"/>
              <w:sz w:val="14"/>
              <w:lang w:val="sr-Cyrl-RS"/>
            </w:rPr>
            <w:t xml:space="preserve"> of </w:t>
          </w:r>
          <w:r w:rsidRPr="00FC43C6">
            <w:rPr>
              <w:rFonts w:ascii="Arial Narrow" w:eastAsia="Calibri" w:hAnsi="Arial Narrow" w:cs="Arial"/>
              <w:b/>
              <w:bCs/>
              <w:color w:val="FFFFFF"/>
              <w:sz w:val="14"/>
              <w:lang w:val="sr-Cyrl-RS"/>
            </w:rPr>
            <w:fldChar w:fldCharType="begin"/>
          </w:r>
          <w:r w:rsidRPr="00FC43C6">
            <w:rPr>
              <w:rFonts w:ascii="Arial Narrow" w:eastAsia="Calibri" w:hAnsi="Arial Narrow" w:cs="Arial"/>
              <w:b/>
              <w:bCs/>
              <w:color w:val="FFFFFF"/>
              <w:sz w:val="14"/>
              <w:lang w:val="sr-Cyrl-RS"/>
            </w:rPr>
            <w:instrText xml:space="preserve"> NUMPAGES  \* Arabic  \* MERGEFORMAT </w:instrText>
          </w:r>
          <w:r w:rsidRPr="00FC43C6">
            <w:rPr>
              <w:rFonts w:ascii="Arial Narrow" w:eastAsia="Calibri" w:hAnsi="Arial Narrow" w:cs="Arial"/>
              <w:b/>
              <w:bCs/>
              <w:color w:val="FFFFFF"/>
              <w:sz w:val="14"/>
              <w:lang w:val="sr-Cyrl-RS"/>
            </w:rPr>
            <w:fldChar w:fldCharType="separate"/>
          </w:r>
          <w:r w:rsidRPr="00FC43C6">
            <w:rPr>
              <w:rFonts w:ascii="Arial Narrow" w:eastAsia="Calibri" w:hAnsi="Arial Narrow" w:cs="Arial"/>
              <w:b/>
              <w:bCs/>
              <w:noProof/>
              <w:color w:val="FFFFFF"/>
              <w:sz w:val="14"/>
              <w:lang w:val="sr-Cyrl-RS"/>
            </w:rPr>
            <w:t>6</w:t>
          </w:r>
          <w:r w:rsidRPr="00FC43C6">
            <w:rPr>
              <w:rFonts w:ascii="Arial Narrow" w:eastAsia="Calibri" w:hAnsi="Arial Narrow" w:cs="Arial"/>
              <w:b/>
              <w:bCs/>
              <w:color w:val="FFFFFF"/>
              <w:sz w:val="14"/>
              <w:lang w:val="sr-Cyrl-RS"/>
            </w:rPr>
            <w:fldChar w:fldCharType="end"/>
          </w:r>
        </w:p>
      </w:tc>
    </w:tr>
    <w:tr w:rsidR="00FC43C6" w:rsidRPr="00FC43C6" w14:paraId="2EA74927" w14:textId="77777777" w:rsidTr="007908B4">
      <w:trPr>
        <w:trHeight w:val="113"/>
      </w:trPr>
      <w:tc>
        <w:tcPr>
          <w:tcW w:w="2835" w:type="dxa"/>
          <w:vMerge/>
          <w:shd w:val="clear" w:color="auto" w:fill="auto"/>
          <w:vAlign w:val="center"/>
        </w:tcPr>
        <w:p w14:paraId="155D36D9" w14:textId="77777777" w:rsidR="00FC43C6" w:rsidRPr="00FC43C6" w:rsidRDefault="00FC43C6" w:rsidP="00FC43C6">
          <w:pPr>
            <w:tabs>
              <w:tab w:val="center" w:pos="4680"/>
              <w:tab w:val="right" w:pos="9360"/>
            </w:tabs>
            <w:spacing w:after="0" w:line="240" w:lineRule="auto"/>
            <w:rPr>
              <w:rFonts w:ascii="Calibri" w:eastAsia="Calibri" w:hAnsi="Calibri" w:cs="Arial"/>
              <w:sz w:val="4"/>
            </w:rPr>
          </w:pPr>
        </w:p>
      </w:tc>
      <w:tc>
        <w:tcPr>
          <w:tcW w:w="6096" w:type="dxa"/>
          <w:shd w:val="clear" w:color="auto" w:fill="auto"/>
          <w:vAlign w:val="center"/>
        </w:tcPr>
        <w:p w14:paraId="340DD2B6" w14:textId="77777777" w:rsidR="00FC43C6" w:rsidRPr="00FC43C6" w:rsidRDefault="00FC43C6" w:rsidP="00FC43C6">
          <w:pPr>
            <w:tabs>
              <w:tab w:val="center" w:pos="4680"/>
              <w:tab w:val="right" w:pos="9360"/>
            </w:tabs>
            <w:spacing w:after="0" w:line="240" w:lineRule="auto"/>
            <w:rPr>
              <w:rFonts w:ascii="Calibri" w:eastAsia="Calibri" w:hAnsi="Calibri" w:cs="Arial"/>
              <w:sz w:val="4"/>
            </w:rPr>
          </w:pPr>
        </w:p>
      </w:tc>
      <w:tc>
        <w:tcPr>
          <w:tcW w:w="1275" w:type="dxa"/>
          <w:shd w:val="clear" w:color="auto" w:fill="auto"/>
          <w:vAlign w:val="center"/>
        </w:tcPr>
        <w:p w14:paraId="11596C95" w14:textId="77777777" w:rsidR="00FC43C6" w:rsidRPr="00FC43C6" w:rsidRDefault="00FC43C6" w:rsidP="00FC43C6">
          <w:pPr>
            <w:tabs>
              <w:tab w:val="center" w:pos="4680"/>
              <w:tab w:val="right" w:pos="9360"/>
            </w:tabs>
            <w:spacing w:after="0" w:line="240" w:lineRule="auto"/>
            <w:rPr>
              <w:rFonts w:ascii="Calibri" w:eastAsia="Calibri" w:hAnsi="Calibri" w:cs="Arial"/>
              <w:sz w:val="4"/>
            </w:rPr>
          </w:pPr>
        </w:p>
      </w:tc>
    </w:tr>
    <w:tr w:rsidR="00FC43C6" w:rsidRPr="00FC43C6" w14:paraId="5D12D4A1" w14:textId="77777777" w:rsidTr="007908B4">
      <w:trPr>
        <w:trHeight w:val="397"/>
      </w:trPr>
      <w:tc>
        <w:tcPr>
          <w:tcW w:w="2835" w:type="dxa"/>
          <w:vMerge/>
          <w:shd w:val="clear" w:color="auto" w:fill="auto"/>
          <w:vAlign w:val="center"/>
        </w:tcPr>
        <w:p w14:paraId="62AE1969" w14:textId="77777777" w:rsidR="00FC43C6" w:rsidRPr="00FC43C6" w:rsidRDefault="00FC43C6" w:rsidP="00FC43C6">
          <w:pPr>
            <w:tabs>
              <w:tab w:val="center" w:pos="4680"/>
              <w:tab w:val="right" w:pos="9360"/>
            </w:tabs>
            <w:spacing w:after="0" w:line="240" w:lineRule="auto"/>
            <w:rPr>
              <w:rFonts w:ascii="Calibri" w:eastAsia="Calibri" w:hAnsi="Calibri" w:cs="Arial"/>
            </w:rPr>
          </w:pPr>
        </w:p>
      </w:tc>
      <w:tc>
        <w:tcPr>
          <w:tcW w:w="7371" w:type="dxa"/>
          <w:gridSpan w:val="2"/>
          <w:shd w:val="clear" w:color="auto" w:fill="003399"/>
          <w:vAlign w:val="center"/>
        </w:tcPr>
        <w:p w14:paraId="4C11AC7B" w14:textId="77777777" w:rsidR="00FC43C6" w:rsidRPr="00FC43C6" w:rsidRDefault="00FC43C6" w:rsidP="00FC43C6">
          <w:pPr>
            <w:tabs>
              <w:tab w:val="center" w:pos="4680"/>
              <w:tab w:val="right" w:pos="9360"/>
            </w:tabs>
            <w:spacing w:after="0" w:line="240" w:lineRule="auto"/>
            <w:jc w:val="center"/>
            <w:rPr>
              <w:rFonts w:ascii="Arial" w:eastAsia="Calibri" w:hAnsi="Arial" w:cs="Arial"/>
              <w:b/>
              <w:color w:val="FFFFFF"/>
              <w:sz w:val="16"/>
              <w:lang w:val="it-IT"/>
            </w:rPr>
          </w:pPr>
          <w:r w:rsidRPr="00FC43C6">
            <w:rPr>
              <w:rFonts w:ascii="Arial" w:eastAsia="Calibri" w:hAnsi="Arial" w:cs="Arial"/>
              <w:b/>
              <w:color w:val="FFFFFF"/>
              <w:sz w:val="16"/>
            </w:rPr>
            <w:t>Bul. Vojvode Mišića 15a, 11000 Belgrade, Serbia  I  Tel: +381 11 40 40 721  I  www.ppf.rs</w:t>
          </w:r>
        </w:p>
      </w:tc>
    </w:tr>
  </w:tbl>
  <w:p w14:paraId="75A77873" w14:textId="77777777"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6733" w14:textId="77777777" w:rsidR="00335A53" w:rsidRDefault="00335A53" w:rsidP="0069431C">
      <w:pPr>
        <w:spacing w:after="0" w:line="240" w:lineRule="auto"/>
      </w:pPr>
      <w:r>
        <w:separator/>
      </w:r>
    </w:p>
  </w:footnote>
  <w:footnote w:type="continuationSeparator" w:id="0">
    <w:p w14:paraId="052DF496" w14:textId="77777777" w:rsidR="00335A53" w:rsidRDefault="00335A53"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F880" w14:textId="7418F49A" w:rsidR="0069431C" w:rsidRDefault="00FC43C6">
    <w:pPr>
      <w:pStyle w:val="Header"/>
    </w:pPr>
    <w:r w:rsidRPr="00FC43C6">
      <w:rPr>
        <w:rFonts w:ascii="Arial" w:eastAsia="Calibri" w:hAnsi="Arial" w:cs="Arial"/>
        <w:noProof/>
        <w:color w:val="323132"/>
        <w:sz w:val="20"/>
        <w:lang w:val="en-GB"/>
      </w:rPr>
      <w:drawing>
        <wp:anchor distT="0" distB="0" distL="114300" distR="114300" simplePos="0" relativeHeight="251659264" behindDoc="1" locked="0" layoutInCell="1" allowOverlap="1" wp14:anchorId="7C6CC003" wp14:editId="5DDB1653">
          <wp:simplePos x="0" y="0"/>
          <wp:positionH relativeFrom="margin">
            <wp:align>right</wp:align>
          </wp:positionH>
          <wp:positionV relativeFrom="topMargin">
            <wp:posOffset>182372</wp:posOffset>
          </wp:positionV>
          <wp:extent cx="5731510" cy="103187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C16"/>
    <w:multiLevelType w:val="hybridMultilevel"/>
    <w:tmpl w:val="CD98DAEE"/>
    <w:lvl w:ilvl="0" w:tplc="04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364E6"/>
    <w:multiLevelType w:val="hybridMultilevel"/>
    <w:tmpl w:val="246C8F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A3B5A"/>
    <w:multiLevelType w:val="hybridMultilevel"/>
    <w:tmpl w:val="63D2D9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67AAD"/>
    <w:multiLevelType w:val="hybridMultilevel"/>
    <w:tmpl w:val="08F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A4A2E"/>
    <w:multiLevelType w:val="hybridMultilevel"/>
    <w:tmpl w:val="136C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67FF5"/>
    <w:multiLevelType w:val="hybridMultilevel"/>
    <w:tmpl w:val="59464EF4"/>
    <w:lvl w:ilvl="0" w:tplc="8920F54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7713A"/>
    <w:multiLevelType w:val="hybridMultilevel"/>
    <w:tmpl w:val="F6A8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F0CC1"/>
    <w:multiLevelType w:val="hybridMultilevel"/>
    <w:tmpl w:val="13DE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9"/>
  </w:num>
  <w:num w:numId="4">
    <w:abstractNumId w:val="30"/>
  </w:num>
  <w:num w:numId="5">
    <w:abstractNumId w:val="12"/>
  </w:num>
  <w:num w:numId="6">
    <w:abstractNumId w:val="9"/>
  </w:num>
  <w:num w:numId="7">
    <w:abstractNumId w:val="7"/>
  </w:num>
  <w:num w:numId="8">
    <w:abstractNumId w:val="25"/>
  </w:num>
  <w:num w:numId="9">
    <w:abstractNumId w:val="29"/>
  </w:num>
  <w:num w:numId="10">
    <w:abstractNumId w:val="27"/>
  </w:num>
  <w:num w:numId="11">
    <w:abstractNumId w:val="21"/>
  </w:num>
  <w:num w:numId="12">
    <w:abstractNumId w:val="23"/>
  </w:num>
  <w:num w:numId="13">
    <w:abstractNumId w:val="15"/>
  </w:num>
  <w:num w:numId="14">
    <w:abstractNumId w:val="26"/>
  </w:num>
  <w:num w:numId="15">
    <w:abstractNumId w:val="10"/>
  </w:num>
  <w:num w:numId="16">
    <w:abstractNumId w:val="17"/>
  </w:num>
  <w:num w:numId="17">
    <w:abstractNumId w:val="5"/>
  </w:num>
  <w:num w:numId="18">
    <w:abstractNumId w:val="1"/>
  </w:num>
  <w:num w:numId="19">
    <w:abstractNumId w:val="2"/>
  </w:num>
  <w:num w:numId="20">
    <w:abstractNumId w:val="32"/>
  </w:num>
  <w:num w:numId="21">
    <w:abstractNumId w:val="28"/>
  </w:num>
  <w:num w:numId="22">
    <w:abstractNumId w:val="24"/>
  </w:num>
  <w:num w:numId="23">
    <w:abstractNumId w:val="11"/>
  </w:num>
  <w:num w:numId="24">
    <w:abstractNumId w:val="6"/>
  </w:num>
  <w:num w:numId="25">
    <w:abstractNumId w:val="22"/>
  </w:num>
  <w:num w:numId="26">
    <w:abstractNumId w:val="31"/>
  </w:num>
  <w:num w:numId="27">
    <w:abstractNumId w:val="20"/>
  </w:num>
  <w:num w:numId="28">
    <w:abstractNumId w:val="14"/>
  </w:num>
  <w:num w:numId="29">
    <w:abstractNumId w:val="16"/>
  </w:num>
  <w:num w:numId="30">
    <w:abstractNumId w:val="8"/>
  </w:num>
  <w:num w:numId="31">
    <w:abstractNumId w:val="18"/>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0812"/>
    <w:rsid w:val="00020AF6"/>
    <w:rsid w:val="0003763C"/>
    <w:rsid w:val="00040CF5"/>
    <w:rsid w:val="0004312F"/>
    <w:rsid w:val="00043B34"/>
    <w:rsid w:val="000508DA"/>
    <w:rsid w:val="00052B00"/>
    <w:rsid w:val="00072338"/>
    <w:rsid w:val="00082AAC"/>
    <w:rsid w:val="00086697"/>
    <w:rsid w:val="000932FA"/>
    <w:rsid w:val="00095755"/>
    <w:rsid w:val="00095CCD"/>
    <w:rsid w:val="000A75D4"/>
    <w:rsid w:val="000B22B4"/>
    <w:rsid w:val="000D141E"/>
    <w:rsid w:val="000D706C"/>
    <w:rsid w:val="001178B0"/>
    <w:rsid w:val="00123AA3"/>
    <w:rsid w:val="001277B4"/>
    <w:rsid w:val="001410B0"/>
    <w:rsid w:val="00146F4E"/>
    <w:rsid w:val="0017188E"/>
    <w:rsid w:val="00172430"/>
    <w:rsid w:val="00183177"/>
    <w:rsid w:val="00186D2C"/>
    <w:rsid w:val="001B6FB4"/>
    <w:rsid w:val="001D2B9E"/>
    <w:rsid w:val="002102FB"/>
    <w:rsid w:val="00211073"/>
    <w:rsid w:val="00214860"/>
    <w:rsid w:val="00281A3E"/>
    <w:rsid w:val="00286E1E"/>
    <w:rsid w:val="00287E50"/>
    <w:rsid w:val="00292FF1"/>
    <w:rsid w:val="0029719A"/>
    <w:rsid w:val="002A0749"/>
    <w:rsid w:val="002A1B96"/>
    <w:rsid w:val="002A6CAC"/>
    <w:rsid w:val="002B1D21"/>
    <w:rsid w:val="002C0235"/>
    <w:rsid w:val="002C386D"/>
    <w:rsid w:val="002D1A04"/>
    <w:rsid w:val="002D1C38"/>
    <w:rsid w:val="00300C41"/>
    <w:rsid w:val="00302D19"/>
    <w:rsid w:val="003037FA"/>
    <w:rsid w:val="00320851"/>
    <w:rsid w:val="0032226D"/>
    <w:rsid w:val="00335A53"/>
    <w:rsid w:val="003606F7"/>
    <w:rsid w:val="00371161"/>
    <w:rsid w:val="00375D0F"/>
    <w:rsid w:val="0039118A"/>
    <w:rsid w:val="003A2B79"/>
    <w:rsid w:val="003D3F88"/>
    <w:rsid w:val="0040694E"/>
    <w:rsid w:val="004256D0"/>
    <w:rsid w:val="004267F9"/>
    <w:rsid w:val="00444594"/>
    <w:rsid w:val="00444ECB"/>
    <w:rsid w:val="00457A0B"/>
    <w:rsid w:val="004662D8"/>
    <w:rsid w:val="0048517E"/>
    <w:rsid w:val="00496A19"/>
    <w:rsid w:val="004C40EA"/>
    <w:rsid w:val="004D5BAC"/>
    <w:rsid w:val="004D7E4F"/>
    <w:rsid w:val="004E53C9"/>
    <w:rsid w:val="004E566D"/>
    <w:rsid w:val="004F2448"/>
    <w:rsid w:val="00523E28"/>
    <w:rsid w:val="00540934"/>
    <w:rsid w:val="00584E3C"/>
    <w:rsid w:val="0059172E"/>
    <w:rsid w:val="005A6233"/>
    <w:rsid w:val="005B4B05"/>
    <w:rsid w:val="005B4C7A"/>
    <w:rsid w:val="005D5CE2"/>
    <w:rsid w:val="005E1C5E"/>
    <w:rsid w:val="005F6DA4"/>
    <w:rsid w:val="00603DAD"/>
    <w:rsid w:val="006067F3"/>
    <w:rsid w:val="00606B12"/>
    <w:rsid w:val="006162F9"/>
    <w:rsid w:val="006254EF"/>
    <w:rsid w:val="00631CC5"/>
    <w:rsid w:val="00633BDC"/>
    <w:rsid w:val="0063747A"/>
    <w:rsid w:val="00643ADF"/>
    <w:rsid w:val="00645A5E"/>
    <w:rsid w:val="0065155F"/>
    <w:rsid w:val="00684526"/>
    <w:rsid w:val="0069431C"/>
    <w:rsid w:val="006A21C0"/>
    <w:rsid w:val="006A3533"/>
    <w:rsid w:val="006A6CDD"/>
    <w:rsid w:val="006C04C0"/>
    <w:rsid w:val="006D1078"/>
    <w:rsid w:val="006D48E7"/>
    <w:rsid w:val="006E711F"/>
    <w:rsid w:val="006E77EA"/>
    <w:rsid w:val="006F714E"/>
    <w:rsid w:val="006F766F"/>
    <w:rsid w:val="00703882"/>
    <w:rsid w:val="007100BA"/>
    <w:rsid w:val="007317B1"/>
    <w:rsid w:val="007452E3"/>
    <w:rsid w:val="007542DE"/>
    <w:rsid w:val="00754C88"/>
    <w:rsid w:val="007731E5"/>
    <w:rsid w:val="00785C38"/>
    <w:rsid w:val="00791F92"/>
    <w:rsid w:val="0079722E"/>
    <w:rsid w:val="007A6E08"/>
    <w:rsid w:val="007A74A8"/>
    <w:rsid w:val="007B0DFD"/>
    <w:rsid w:val="007F5068"/>
    <w:rsid w:val="00801C63"/>
    <w:rsid w:val="00811379"/>
    <w:rsid w:val="00814204"/>
    <w:rsid w:val="00820DDB"/>
    <w:rsid w:val="00824154"/>
    <w:rsid w:val="00833FA6"/>
    <w:rsid w:val="008346DF"/>
    <w:rsid w:val="008526B0"/>
    <w:rsid w:val="00877FC1"/>
    <w:rsid w:val="0089337E"/>
    <w:rsid w:val="00893661"/>
    <w:rsid w:val="008948EA"/>
    <w:rsid w:val="008A789A"/>
    <w:rsid w:val="008D2004"/>
    <w:rsid w:val="008E4529"/>
    <w:rsid w:val="00902A7D"/>
    <w:rsid w:val="0090301F"/>
    <w:rsid w:val="009173DF"/>
    <w:rsid w:val="00917588"/>
    <w:rsid w:val="00975AD7"/>
    <w:rsid w:val="009916DB"/>
    <w:rsid w:val="00991915"/>
    <w:rsid w:val="009937FF"/>
    <w:rsid w:val="0099386C"/>
    <w:rsid w:val="009943AD"/>
    <w:rsid w:val="009D1D47"/>
    <w:rsid w:val="009D25E7"/>
    <w:rsid w:val="009D43EB"/>
    <w:rsid w:val="00A041E2"/>
    <w:rsid w:val="00A06D13"/>
    <w:rsid w:val="00A516EB"/>
    <w:rsid w:val="00A664A4"/>
    <w:rsid w:val="00A91689"/>
    <w:rsid w:val="00A977C7"/>
    <w:rsid w:val="00A978D5"/>
    <w:rsid w:val="00AC51C6"/>
    <w:rsid w:val="00AC7007"/>
    <w:rsid w:val="00AD6291"/>
    <w:rsid w:val="00AD6876"/>
    <w:rsid w:val="00AE3C13"/>
    <w:rsid w:val="00AE5483"/>
    <w:rsid w:val="00AE7F76"/>
    <w:rsid w:val="00AF5FC6"/>
    <w:rsid w:val="00B02039"/>
    <w:rsid w:val="00B04EBB"/>
    <w:rsid w:val="00B105C3"/>
    <w:rsid w:val="00B1545F"/>
    <w:rsid w:val="00B17883"/>
    <w:rsid w:val="00B40329"/>
    <w:rsid w:val="00B50D4A"/>
    <w:rsid w:val="00B5564A"/>
    <w:rsid w:val="00B66285"/>
    <w:rsid w:val="00B838E4"/>
    <w:rsid w:val="00B9338B"/>
    <w:rsid w:val="00BA0331"/>
    <w:rsid w:val="00BA6220"/>
    <w:rsid w:val="00BA765A"/>
    <w:rsid w:val="00BC3A6E"/>
    <w:rsid w:val="00BC59DE"/>
    <w:rsid w:val="00BC5FC1"/>
    <w:rsid w:val="00BD78F1"/>
    <w:rsid w:val="00BF34C1"/>
    <w:rsid w:val="00C17BA0"/>
    <w:rsid w:val="00C41515"/>
    <w:rsid w:val="00C4385B"/>
    <w:rsid w:val="00C458FE"/>
    <w:rsid w:val="00C47EF1"/>
    <w:rsid w:val="00C516F1"/>
    <w:rsid w:val="00C64B7E"/>
    <w:rsid w:val="00C741A7"/>
    <w:rsid w:val="00C91E00"/>
    <w:rsid w:val="00CA5EFB"/>
    <w:rsid w:val="00CB2F1A"/>
    <w:rsid w:val="00CB39A2"/>
    <w:rsid w:val="00CC4211"/>
    <w:rsid w:val="00CE40C3"/>
    <w:rsid w:val="00D00670"/>
    <w:rsid w:val="00D02789"/>
    <w:rsid w:val="00D17025"/>
    <w:rsid w:val="00D20E06"/>
    <w:rsid w:val="00D23A9A"/>
    <w:rsid w:val="00D270DF"/>
    <w:rsid w:val="00D52A42"/>
    <w:rsid w:val="00D82215"/>
    <w:rsid w:val="00D87D53"/>
    <w:rsid w:val="00D90C46"/>
    <w:rsid w:val="00D91EFE"/>
    <w:rsid w:val="00D94EDA"/>
    <w:rsid w:val="00DA0116"/>
    <w:rsid w:val="00DB067D"/>
    <w:rsid w:val="00DE1208"/>
    <w:rsid w:val="00DE17D8"/>
    <w:rsid w:val="00DE5707"/>
    <w:rsid w:val="00DF52DC"/>
    <w:rsid w:val="00DF7B22"/>
    <w:rsid w:val="00E00A92"/>
    <w:rsid w:val="00E14298"/>
    <w:rsid w:val="00E2144D"/>
    <w:rsid w:val="00E22F0B"/>
    <w:rsid w:val="00E2385C"/>
    <w:rsid w:val="00E24F39"/>
    <w:rsid w:val="00E2705D"/>
    <w:rsid w:val="00E34282"/>
    <w:rsid w:val="00E428D4"/>
    <w:rsid w:val="00E46741"/>
    <w:rsid w:val="00E513A2"/>
    <w:rsid w:val="00E5689C"/>
    <w:rsid w:val="00E93268"/>
    <w:rsid w:val="00EA4B19"/>
    <w:rsid w:val="00EA767B"/>
    <w:rsid w:val="00EB120A"/>
    <w:rsid w:val="00ED471A"/>
    <w:rsid w:val="00EE257D"/>
    <w:rsid w:val="00EE6A93"/>
    <w:rsid w:val="00EF1E5D"/>
    <w:rsid w:val="00EF2E19"/>
    <w:rsid w:val="00F0741D"/>
    <w:rsid w:val="00F16094"/>
    <w:rsid w:val="00F21A39"/>
    <w:rsid w:val="00F27986"/>
    <w:rsid w:val="00F4605E"/>
    <w:rsid w:val="00F5322B"/>
    <w:rsid w:val="00F73277"/>
    <w:rsid w:val="00F77E14"/>
    <w:rsid w:val="00F836A7"/>
    <w:rsid w:val="00F9305B"/>
    <w:rsid w:val="00FA4E57"/>
    <w:rsid w:val="00FC0994"/>
    <w:rsid w:val="00FC43C6"/>
    <w:rsid w:val="00FE02C3"/>
    <w:rsid w:val="00FE0E64"/>
    <w:rsid w:val="00FE4A89"/>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B5564A"/>
    <w:rPr>
      <w:sz w:val="16"/>
      <w:szCs w:val="16"/>
    </w:rPr>
  </w:style>
  <w:style w:type="paragraph" w:styleId="CommentText">
    <w:name w:val="annotation text"/>
    <w:basedOn w:val="Normal"/>
    <w:link w:val="CommentTextChar"/>
    <w:uiPriority w:val="99"/>
    <w:semiHidden/>
    <w:unhideWhenUsed/>
    <w:rsid w:val="00B5564A"/>
    <w:pPr>
      <w:spacing w:line="240" w:lineRule="auto"/>
    </w:pPr>
    <w:rPr>
      <w:sz w:val="20"/>
      <w:szCs w:val="20"/>
    </w:rPr>
  </w:style>
  <w:style w:type="character" w:customStyle="1" w:styleId="CommentTextChar">
    <w:name w:val="Comment Text Char"/>
    <w:basedOn w:val="DefaultParagraphFont"/>
    <w:link w:val="CommentText"/>
    <w:uiPriority w:val="99"/>
    <w:semiHidden/>
    <w:rsid w:val="00B5564A"/>
    <w:rPr>
      <w:sz w:val="20"/>
      <w:szCs w:val="20"/>
    </w:rPr>
  </w:style>
  <w:style w:type="paragraph" w:styleId="CommentSubject">
    <w:name w:val="annotation subject"/>
    <w:basedOn w:val="CommentText"/>
    <w:next w:val="CommentText"/>
    <w:link w:val="CommentSubjectChar"/>
    <w:uiPriority w:val="99"/>
    <w:semiHidden/>
    <w:unhideWhenUsed/>
    <w:rsid w:val="00B5564A"/>
    <w:rPr>
      <w:b/>
      <w:bCs/>
    </w:rPr>
  </w:style>
  <w:style w:type="character" w:customStyle="1" w:styleId="CommentSubjectChar">
    <w:name w:val="Comment Subject Char"/>
    <w:basedOn w:val="CommentTextChar"/>
    <w:link w:val="CommentSubject"/>
    <w:uiPriority w:val="99"/>
    <w:semiHidden/>
    <w:rsid w:val="00B5564A"/>
    <w:rPr>
      <w:b/>
      <w:bCs/>
      <w:sz w:val="20"/>
      <w:szCs w:val="20"/>
    </w:rPr>
  </w:style>
  <w:style w:type="paragraph" w:styleId="NoSpacing">
    <w:name w:val="No Spacing"/>
    <w:uiPriority w:val="1"/>
    <w:qFormat/>
    <w:rsid w:val="00297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18981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5D0D-9E11-43DF-AEA3-F48BC7F6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872</Words>
  <Characters>4976</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Rankovic, Ivan</cp:lastModifiedBy>
  <cp:revision>16</cp:revision>
  <cp:lastPrinted>2019-11-26T11:22:00Z</cp:lastPrinted>
  <dcterms:created xsi:type="dcterms:W3CDTF">2020-07-13T07:15:00Z</dcterms:created>
  <dcterms:modified xsi:type="dcterms:W3CDTF">2022-12-16T12:03:00Z</dcterms:modified>
</cp:coreProperties>
</file>