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ook w:val="01E0" w:firstRow="1" w:lastRow="1" w:firstColumn="1" w:lastColumn="1" w:noHBand="0" w:noVBand="0"/>
      </w:tblPr>
      <w:tblGrid>
        <w:gridCol w:w="2947"/>
        <w:gridCol w:w="6409"/>
      </w:tblGrid>
      <w:tr w:rsidR="00D90C46" w:rsidRPr="00754C88" w14:paraId="2A2409EA" w14:textId="77777777" w:rsidTr="00B04EBB">
        <w:tc>
          <w:tcPr>
            <w:tcW w:w="9356" w:type="dxa"/>
            <w:gridSpan w:val="2"/>
          </w:tcPr>
          <w:p w14:paraId="4BDE4C5B" w14:textId="38509296" w:rsidR="00D90C46" w:rsidRPr="00754C88" w:rsidRDefault="00D90C46" w:rsidP="00754C88">
            <w:pPr>
              <w:spacing w:beforeLines="60" w:before="144" w:afterLines="60" w:after="144" w:line="240" w:lineRule="auto"/>
              <w:jc w:val="both"/>
              <w:rPr>
                <w:rFonts w:ascii="Arial" w:eastAsia="Times New Roman" w:hAnsi="Arial" w:cs="Arial"/>
                <w:b/>
                <w:color w:val="323132"/>
                <w:sz w:val="20"/>
                <w:szCs w:val="20"/>
                <w:lang w:val="en-GB"/>
              </w:rPr>
            </w:pPr>
            <w:r w:rsidRPr="00754C88">
              <w:rPr>
                <w:rFonts w:ascii="Arial" w:eastAsia="Times New Roman" w:hAnsi="Arial" w:cs="Arial"/>
                <w:b/>
                <w:noProof/>
                <w:color w:val="323132"/>
                <w:sz w:val="20"/>
                <w:szCs w:val="20"/>
                <w:lang w:val="en-GB"/>
              </w:rPr>
              <w:t>Non-Key Expert Terms of Reference</w:t>
            </w:r>
          </w:p>
        </w:tc>
      </w:tr>
      <w:tr w:rsidR="00EA767B" w:rsidRPr="00754C88" w14:paraId="25C897FD" w14:textId="77777777" w:rsidTr="00B04EBB">
        <w:tc>
          <w:tcPr>
            <w:tcW w:w="2947" w:type="dxa"/>
          </w:tcPr>
          <w:p w14:paraId="75C333E6" w14:textId="1C8E7162" w:rsidR="00EA767B" w:rsidRPr="00754C88" w:rsidRDefault="00EA767B" w:rsidP="00754C88">
            <w:pPr>
              <w:spacing w:beforeLines="60" w:before="144" w:afterLines="60" w:after="144" w:line="240" w:lineRule="auto"/>
              <w:jc w:val="both"/>
              <w:rPr>
                <w:rFonts w:ascii="Arial" w:eastAsia="Times New Roman" w:hAnsi="Arial" w:cs="Arial"/>
                <w:color w:val="323132"/>
                <w:sz w:val="20"/>
                <w:szCs w:val="20"/>
                <w:lang w:val="en-GB"/>
              </w:rPr>
            </w:pPr>
            <w:r w:rsidRPr="00754C88">
              <w:rPr>
                <w:rFonts w:ascii="Arial" w:eastAsia="Times New Roman" w:hAnsi="Arial" w:cs="Arial"/>
                <w:color w:val="323132"/>
                <w:sz w:val="20"/>
                <w:szCs w:val="20"/>
                <w:lang w:val="en-GB"/>
              </w:rPr>
              <w:t>Project Title:</w:t>
            </w:r>
          </w:p>
        </w:tc>
        <w:tc>
          <w:tcPr>
            <w:tcW w:w="6409" w:type="dxa"/>
          </w:tcPr>
          <w:p w14:paraId="5CAAF6BD" w14:textId="5171EF5A" w:rsidR="00EA767B" w:rsidRPr="00754C88" w:rsidRDefault="00EA767B" w:rsidP="00754C88">
            <w:pPr>
              <w:spacing w:beforeLines="60" w:before="144" w:afterLines="60" w:after="144" w:line="240" w:lineRule="auto"/>
              <w:jc w:val="both"/>
              <w:rPr>
                <w:rFonts w:ascii="Arial" w:eastAsia="Times New Roman" w:hAnsi="Arial" w:cs="Arial"/>
                <w:color w:val="323132"/>
                <w:sz w:val="20"/>
                <w:szCs w:val="20"/>
                <w:lang w:val="en-GB" w:eastAsia="x-none"/>
              </w:rPr>
            </w:pPr>
            <w:r w:rsidRPr="00754C88">
              <w:rPr>
                <w:rFonts w:ascii="Arial" w:eastAsia="Times New Roman" w:hAnsi="Arial" w:cs="Arial"/>
                <w:color w:val="323132"/>
                <w:sz w:val="20"/>
                <w:szCs w:val="20"/>
                <w:lang w:val="en-GB" w:eastAsia="x-none"/>
              </w:rPr>
              <w:t>EU Project Preparation Facility 6</w:t>
            </w:r>
          </w:p>
        </w:tc>
      </w:tr>
      <w:tr w:rsidR="00EA767B" w:rsidRPr="00754C88" w14:paraId="7FADEB51" w14:textId="77777777" w:rsidTr="00B04EBB">
        <w:tc>
          <w:tcPr>
            <w:tcW w:w="2947" w:type="dxa"/>
          </w:tcPr>
          <w:p w14:paraId="5346A24E" w14:textId="09DC804C" w:rsidR="00EA767B" w:rsidRPr="00754C88" w:rsidRDefault="00EA767B" w:rsidP="00754C88">
            <w:pPr>
              <w:spacing w:beforeLines="60" w:before="144" w:afterLines="60" w:after="144" w:line="240" w:lineRule="auto"/>
              <w:jc w:val="both"/>
              <w:rPr>
                <w:rFonts w:ascii="Arial" w:eastAsia="Times New Roman" w:hAnsi="Arial" w:cs="Arial"/>
                <w:color w:val="323132"/>
                <w:sz w:val="20"/>
                <w:szCs w:val="20"/>
                <w:lang w:val="en-GB"/>
              </w:rPr>
            </w:pPr>
            <w:r w:rsidRPr="00754C88">
              <w:rPr>
                <w:rFonts w:ascii="Arial" w:eastAsia="Times New Roman" w:hAnsi="Arial" w:cs="Arial"/>
                <w:color w:val="323132"/>
                <w:sz w:val="20"/>
                <w:szCs w:val="20"/>
                <w:lang w:val="en-GB"/>
              </w:rPr>
              <w:t>Service Contract Number:</w:t>
            </w:r>
          </w:p>
        </w:tc>
        <w:tc>
          <w:tcPr>
            <w:tcW w:w="6409" w:type="dxa"/>
          </w:tcPr>
          <w:p w14:paraId="57CD727C" w14:textId="47BC2B89" w:rsidR="00EA767B" w:rsidRPr="00754C88" w:rsidRDefault="00EA767B" w:rsidP="00754C88">
            <w:pPr>
              <w:spacing w:beforeLines="60" w:before="144" w:afterLines="60" w:after="144" w:line="240" w:lineRule="auto"/>
              <w:jc w:val="both"/>
              <w:rPr>
                <w:rFonts w:ascii="Arial" w:eastAsia="Times New Roman" w:hAnsi="Arial" w:cs="Arial"/>
                <w:color w:val="323132"/>
                <w:sz w:val="20"/>
                <w:szCs w:val="20"/>
                <w:lang w:val="en-GB" w:eastAsia="x-none"/>
              </w:rPr>
            </w:pPr>
            <w:r w:rsidRPr="00754C88">
              <w:rPr>
                <w:rFonts w:ascii="Arial" w:eastAsia="Times New Roman" w:hAnsi="Arial" w:cs="Arial"/>
                <w:color w:val="323132"/>
                <w:sz w:val="20"/>
                <w:szCs w:val="20"/>
                <w:lang w:val="en-GB" w:eastAsia="x-none"/>
              </w:rPr>
              <w:t>48-00-145/2014/28</w:t>
            </w:r>
          </w:p>
        </w:tc>
      </w:tr>
      <w:tr w:rsidR="00EA767B" w:rsidRPr="00754C88" w14:paraId="69C689FB" w14:textId="77777777" w:rsidTr="00B04EBB">
        <w:tc>
          <w:tcPr>
            <w:tcW w:w="2947" w:type="dxa"/>
          </w:tcPr>
          <w:p w14:paraId="79569C41" w14:textId="7056C1BB" w:rsidR="00EA767B" w:rsidRPr="00754C88" w:rsidRDefault="00754C88" w:rsidP="00754C88">
            <w:pPr>
              <w:spacing w:beforeLines="60" w:before="144" w:afterLines="60" w:after="144" w:line="240" w:lineRule="auto"/>
              <w:jc w:val="both"/>
              <w:rPr>
                <w:rFonts w:ascii="Arial" w:eastAsia="Times New Roman" w:hAnsi="Arial" w:cs="Arial"/>
                <w:color w:val="323132"/>
                <w:sz w:val="20"/>
                <w:szCs w:val="20"/>
                <w:lang w:val="en-GB"/>
              </w:rPr>
            </w:pPr>
            <w:r w:rsidRPr="00754C88">
              <w:rPr>
                <w:rFonts w:ascii="Arial" w:eastAsia="Times New Roman" w:hAnsi="Arial" w:cs="Arial"/>
                <w:color w:val="323132"/>
                <w:sz w:val="20"/>
                <w:szCs w:val="20"/>
                <w:lang w:val="en-GB"/>
              </w:rPr>
              <w:t>Identification number:</w:t>
            </w:r>
            <w:r w:rsidR="00EA767B" w:rsidRPr="00754C88">
              <w:rPr>
                <w:rFonts w:ascii="Arial" w:eastAsia="Times New Roman" w:hAnsi="Arial" w:cs="Arial"/>
                <w:color w:val="323132"/>
                <w:sz w:val="20"/>
                <w:szCs w:val="20"/>
                <w:lang w:val="en-GB"/>
              </w:rPr>
              <w:t xml:space="preserve"> </w:t>
            </w:r>
          </w:p>
        </w:tc>
        <w:tc>
          <w:tcPr>
            <w:tcW w:w="6409" w:type="dxa"/>
          </w:tcPr>
          <w:p w14:paraId="0AB55690" w14:textId="653E18C7" w:rsidR="00EA767B" w:rsidRPr="00754C88" w:rsidRDefault="00EA767B" w:rsidP="00754C88">
            <w:pPr>
              <w:spacing w:beforeLines="60" w:before="144" w:afterLines="60" w:after="144" w:line="240" w:lineRule="auto"/>
              <w:jc w:val="both"/>
              <w:rPr>
                <w:rFonts w:ascii="Arial" w:eastAsia="Times New Roman" w:hAnsi="Arial" w:cs="Arial"/>
                <w:color w:val="323132"/>
                <w:sz w:val="20"/>
                <w:szCs w:val="20"/>
                <w:lang w:val="en-GB" w:eastAsia="x-none"/>
              </w:rPr>
            </w:pPr>
            <w:r w:rsidRPr="00754C88">
              <w:rPr>
                <w:rFonts w:ascii="Arial" w:eastAsia="Times New Roman" w:hAnsi="Arial" w:cs="Arial"/>
                <w:color w:val="323132"/>
                <w:sz w:val="20"/>
                <w:szCs w:val="20"/>
                <w:lang w:val="en-GB" w:eastAsia="x-none"/>
              </w:rPr>
              <w:t>EUROPEAID/135637/IH/SER/RS</w:t>
            </w:r>
          </w:p>
        </w:tc>
      </w:tr>
      <w:tr w:rsidR="00EA767B" w:rsidRPr="00754C88" w14:paraId="1ED50E96" w14:textId="77777777" w:rsidTr="00B04EBB">
        <w:tc>
          <w:tcPr>
            <w:tcW w:w="2947" w:type="dxa"/>
          </w:tcPr>
          <w:p w14:paraId="255B53B7" w14:textId="2BC5F10A" w:rsidR="00EA767B" w:rsidRPr="00754C88" w:rsidRDefault="00EA767B" w:rsidP="00754C88">
            <w:pPr>
              <w:spacing w:beforeLines="60" w:before="144" w:afterLines="60" w:after="144" w:line="240" w:lineRule="auto"/>
              <w:jc w:val="both"/>
              <w:rPr>
                <w:rFonts w:ascii="Arial" w:eastAsia="Times New Roman" w:hAnsi="Arial" w:cs="Arial"/>
                <w:color w:val="323132"/>
                <w:sz w:val="20"/>
                <w:szCs w:val="20"/>
                <w:lang w:val="en-GB"/>
              </w:rPr>
            </w:pPr>
            <w:r w:rsidRPr="00754C88">
              <w:rPr>
                <w:rFonts w:ascii="Arial" w:eastAsia="Times New Roman" w:hAnsi="Arial" w:cs="Arial"/>
                <w:color w:val="323132"/>
                <w:sz w:val="20"/>
                <w:szCs w:val="20"/>
                <w:lang w:val="en-GB"/>
              </w:rPr>
              <w:t>Contracting Authority:</w:t>
            </w:r>
          </w:p>
        </w:tc>
        <w:tc>
          <w:tcPr>
            <w:tcW w:w="6409" w:type="dxa"/>
          </w:tcPr>
          <w:p w14:paraId="31A75BA5" w14:textId="77777777" w:rsidR="00EA767B" w:rsidRPr="00754C88" w:rsidRDefault="00EA767B" w:rsidP="00754C88">
            <w:pPr>
              <w:spacing w:beforeLines="60" w:before="144" w:afterLines="60" w:after="144" w:line="240" w:lineRule="auto"/>
              <w:jc w:val="both"/>
              <w:rPr>
                <w:rFonts w:ascii="Arial" w:eastAsia="Times New Roman" w:hAnsi="Arial" w:cs="Arial"/>
                <w:color w:val="323132"/>
                <w:sz w:val="20"/>
                <w:szCs w:val="20"/>
                <w:lang w:val="en-GB" w:eastAsia="x-none"/>
              </w:rPr>
            </w:pPr>
            <w:r w:rsidRPr="00754C88">
              <w:rPr>
                <w:rFonts w:ascii="Arial" w:eastAsia="Times New Roman" w:hAnsi="Arial" w:cs="Arial"/>
                <w:color w:val="323132"/>
                <w:sz w:val="20"/>
                <w:szCs w:val="20"/>
                <w:lang w:val="en-GB" w:eastAsia="x-none"/>
              </w:rPr>
              <w:t>Delegation of the European Union to the Republic of Serbia</w:t>
            </w:r>
          </w:p>
          <w:p w14:paraId="3BA75E2F" w14:textId="7C73942B" w:rsidR="00EA767B" w:rsidRPr="00754C88" w:rsidRDefault="00EA767B" w:rsidP="00754C88">
            <w:pPr>
              <w:spacing w:beforeLines="60" w:before="144" w:afterLines="60" w:after="144" w:line="240" w:lineRule="auto"/>
              <w:jc w:val="both"/>
              <w:rPr>
                <w:rFonts w:ascii="Arial" w:eastAsia="Times New Roman" w:hAnsi="Arial" w:cs="Arial"/>
                <w:color w:val="323132"/>
                <w:sz w:val="20"/>
                <w:szCs w:val="20"/>
                <w:lang w:val="en-GB" w:eastAsia="x-none"/>
              </w:rPr>
            </w:pPr>
            <w:r w:rsidRPr="00754C88">
              <w:rPr>
                <w:rFonts w:ascii="Arial" w:eastAsia="Times New Roman" w:hAnsi="Arial" w:cs="Arial"/>
                <w:color w:val="323132"/>
                <w:sz w:val="20"/>
                <w:szCs w:val="20"/>
                <w:lang w:val="en-GB" w:eastAsia="x-none"/>
              </w:rPr>
              <w:t>Ministry of Finance – Department for Contracting and Financing of EU Funded Programmes (CFCU)</w:t>
            </w:r>
          </w:p>
        </w:tc>
      </w:tr>
      <w:tr w:rsidR="00EA767B" w:rsidRPr="00754C88" w14:paraId="4465087F" w14:textId="77777777" w:rsidTr="00B04EBB">
        <w:tc>
          <w:tcPr>
            <w:tcW w:w="2947" w:type="dxa"/>
          </w:tcPr>
          <w:p w14:paraId="2D11E821" w14:textId="6E034298" w:rsidR="00EA767B" w:rsidRPr="00754C88" w:rsidRDefault="00EA767B" w:rsidP="00754C88">
            <w:pPr>
              <w:spacing w:beforeLines="60" w:before="144" w:afterLines="60" w:after="144" w:line="240" w:lineRule="auto"/>
              <w:jc w:val="both"/>
              <w:rPr>
                <w:rFonts w:ascii="Arial" w:eastAsia="Times New Roman" w:hAnsi="Arial" w:cs="Arial"/>
                <w:color w:val="323132"/>
                <w:sz w:val="20"/>
                <w:szCs w:val="20"/>
                <w:lang w:val="en-GB"/>
              </w:rPr>
            </w:pPr>
            <w:r w:rsidRPr="00754C88">
              <w:rPr>
                <w:rFonts w:ascii="Arial" w:eastAsia="Times New Roman" w:hAnsi="Arial" w:cs="Arial"/>
                <w:color w:val="323132"/>
                <w:sz w:val="20"/>
                <w:szCs w:val="20"/>
                <w:lang w:val="en-GB"/>
              </w:rPr>
              <w:t>Key Beneficiary:</w:t>
            </w:r>
          </w:p>
        </w:tc>
        <w:tc>
          <w:tcPr>
            <w:tcW w:w="6409" w:type="dxa"/>
          </w:tcPr>
          <w:p w14:paraId="2302FB07" w14:textId="7BA8D2CF" w:rsidR="00EA767B" w:rsidRPr="00754C88" w:rsidRDefault="00EA767B" w:rsidP="00754C88">
            <w:pPr>
              <w:spacing w:beforeLines="60" w:before="144" w:afterLines="60" w:after="144" w:line="240" w:lineRule="auto"/>
              <w:jc w:val="both"/>
              <w:rPr>
                <w:rFonts w:ascii="Arial" w:eastAsia="Times New Roman" w:hAnsi="Arial" w:cs="Arial"/>
                <w:color w:val="323132"/>
                <w:sz w:val="20"/>
                <w:szCs w:val="20"/>
                <w:lang w:val="en-GB" w:eastAsia="x-none"/>
              </w:rPr>
            </w:pPr>
            <w:r w:rsidRPr="00754C88">
              <w:rPr>
                <w:rFonts w:ascii="Arial" w:eastAsia="Times New Roman" w:hAnsi="Arial" w:cs="Arial"/>
                <w:color w:val="323132"/>
                <w:sz w:val="20"/>
                <w:szCs w:val="20"/>
                <w:lang w:val="en-GB" w:eastAsia="x-none"/>
              </w:rPr>
              <w:t>Ministry of European Integration</w:t>
            </w:r>
          </w:p>
        </w:tc>
      </w:tr>
      <w:tr w:rsidR="00754C88" w:rsidRPr="00754C88" w14:paraId="081FDECE" w14:textId="77777777" w:rsidTr="00B04EBB">
        <w:tc>
          <w:tcPr>
            <w:tcW w:w="2947" w:type="dxa"/>
          </w:tcPr>
          <w:p w14:paraId="545CEB17" w14:textId="77B365AD" w:rsidR="00754C88" w:rsidRPr="002A6CAC" w:rsidRDefault="00754C88" w:rsidP="003030F2">
            <w:pPr>
              <w:spacing w:beforeLines="100" w:before="240" w:afterLines="100" w:after="240" w:line="240" w:lineRule="auto"/>
              <w:jc w:val="both"/>
              <w:rPr>
                <w:rFonts w:ascii="Arial" w:eastAsia="Times New Roman" w:hAnsi="Arial" w:cs="Arial"/>
                <w:b/>
                <w:color w:val="323132"/>
                <w:sz w:val="20"/>
                <w:szCs w:val="20"/>
                <w:lang w:val="en-GB"/>
              </w:rPr>
            </w:pPr>
            <w:r w:rsidRPr="002A6CAC">
              <w:rPr>
                <w:rFonts w:ascii="Arial" w:eastAsia="Times New Roman" w:hAnsi="Arial" w:cs="Arial"/>
                <w:b/>
                <w:color w:val="323132"/>
                <w:sz w:val="20"/>
                <w:szCs w:val="20"/>
                <w:lang w:val="en-GB"/>
              </w:rPr>
              <w:t>Vacanc</w:t>
            </w:r>
            <w:r w:rsidR="00893661">
              <w:rPr>
                <w:rFonts w:ascii="Arial" w:eastAsia="Times New Roman" w:hAnsi="Arial" w:cs="Arial"/>
                <w:b/>
                <w:color w:val="323132"/>
                <w:sz w:val="20"/>
                <w:szCs w:val="20"/>
                <w:lang w:val="en-GB"/>
              </w:rPr>
              <w:t>y</w:t>
            </w:r>
            <w:r w:rsidRPr="002A6CAC">
              <w:rPr>
                <w:rFonts w:ascii="Arial" w:eastAsia="Times New Roman" w:hAnsi="Arial" w:cs="Arial"/>
                <w:b/>
                <w:color w:val="323132"/>
                <w:sz w:val="20"/>
                <w:szCs w:val="20"/>
                <w:lang w:val="en-GB"/>
              </w:rPr>
              <w:t>:</w:t>
            </w:r>
          </w:p>
        </w:tc>
        <w:tc>
          <w:tcPr>
            <w:tcW w:w="6409" w:type="dxa"/>
          </w:tcPr>
          <w:p w14:paraId="0D16282C" w14:textId="77777777" w:rsidR="003030F2" w:rsidRDefault="003030F2" w:rsidP="003030F2">
            <w:pPr>
              <w:spacing w:before="20" w:after="20" w:line="240" w:lineRule="auto"/>
              <w:jc w:val="both"/>
              <w:rPr>
                <w:rFonts w:ascii="Arial" w:eastAsia="Times New Roman" w:hAnsi="Arial" w:cs="Arial"/>
                <w:b/>
                <w:color w:val="323132"/>
                <w:sz w:val="20"/>
                <w:szCs w:val="20"/>
                <w:lang w:val="en-GB" w:eastAsia="x-none"/>
              </w:rPr>
            </w:pPr>
          </w:p>
          <w:p w14:paraId="0BB3B47D" w14:textId="1393A814" w:rsidR="007731E5" w:rsidRPr="003030F2" w:rsidRDefault="00B36758" w:rsidP="003030F2">
            <w:pPr>
              <w:spacing w:before="20" w:after="20" w:line="240" w:lineRule="auto"/>
              <w:jc w:val="both"/>
              <w:rPr>
                <w:rFonts w:ascii="Arial" w:eastAsia="Times New Roman" w:hAnsi="Arial" w:cs="Arial"/>
                <w:b/>
                <w:color w:val="323132"/>
                <w:sz w:val="20"/>
                <w:szCs w:val="20"/>
                <w:lang w:val="en-GB" w:eastAsia="x-none"/>
              </w:rPr>
            </w:pPr>
            <w:r w:rsidRPr="00B36758">
              <w:rPr>
                <w:rFonts w:ascii="Arial" w:eastAsia="Times New Roman" w:hAnsi="Arial" w:cs="Arial"/>
                <w:b/>
                <w:color w:val="323132"/>
                <w:sz w:val="20"/>
                <w:szCs w:val="20"/>
                <w:lang w:val="en-GB" w:eastAsia="x-none"/>
              </w:rPr>
              <w:t>Hydrotechnical Design Expert</w:t>
            </w:r>
            <w:r w:rsidR="003030F2" w:rsidRPr="003030F2">
              <w:rPr>
                <w:rFonts w:ascii="Arial" w:eastAsia="Times New Roman" w:hAnsi="Arial" w:cs="Arial"/>
                <w:b/>
                <w:color w:val="323132"/>
                <w:sz w:val="20"/>
                <w:szCs w:val="20"/>
                <w:lang w:val="en-GB" w:eastAsia="x-none"/>
              </w:rPr>
              <w:t xml:space="preserve"> </w:t>
            </w:r>
          </w:p>
        </w:tc>
      </w:tr>
      <w:tr w:rsidR="00754C88" w:rsidRPr="00754C88" w14:paraId="5D0C8246" w14:textId="77777777" w:rsidTr="00B04EBB">
        <w:tc>
          <w:tcPr>
            <w:tcW w:w="2947" w:type="dxa"/>
          </w:tcPr>
          <w:p w14:paraId="49B32B93" w14:textId="2B953930" w:rsidR="00754C88" w:rsidRPr="00754C88" w:rsidRDefault="00754C88" w:rsidP="00754C88">
            <w:pPr>
              <w:spacing w:beforeLines="60" w:before="144" w:afterLines="60" w:after="144" w:line="240" w:lineRule="auto"/>
              <w:jc w:val="both"/>
              <w:rPr>
                <w:rFonts w:ascii="Arial" w:eastAsia="Times New Roman" w:hAnsi="Arial" w:cs="Arial"/>
                <w:color w:val="323132"/>
                <w:sz w:val="20"/>
                <w:szCs w:val="20"/>
                <w:lang w:val="en-GB"/>
              </w:rPr>
            </w:pPr>
            <w:r w:rsidRPr="00754C88">
              <w:rPr>
                <w:rFonts w:ascii="Arial" w:eastAsia="Times New Roman" w:hAnsi="Arial" w:cs="Arial"/>
                <w:color w:val="323132"/>
                <w:sz w:val="20"/>
                <w:szCs w:val="20"/>
                <w:lang w:val="en-GB"/>
              </w:rPr>
              <w:t>Category:</w:t>
            </w:r>
          </w:p>
        </w:tc>
        <w:tc>
          <w:tcPr>
            <w:tcW w:w="6409" w:type="dxa"/>
          </w:tcPr>
          <w:p w14:paraId="799B7CB7" w14:textId="12DF481D" w:rsidR="00754C88" w:rsidRPr="00820DDB" w:rsidRDefault="00754C88" w:rsidP="00754C88">
            <w:pPr>
              <w:spacing w:beforeLines="60" w:before="144" w:afterLines="60" w:after="144" w:line="240" w:lineRule="auto"/>
              <w:jc w:val="both"/>
              <w:rPr>
                <w:rFonts w:ascii="Arial" w:eastAsia="Times New Roman" w:hAnsi="Arial" w:cs="Arial"/>
                <w:color w:val="323132"/>
                <w:sz w:val="20"/>
                <w:szCs w:val="20"/>
                <w:lang w:val="en-GB" w:eastAsia="x-none"/>
              </w:rPr>
            </w:pPr>
            <w:r w:rsidRPr="00820DDB">
              <w:rPr>
                <w:rFonts w:ascii="Arial" w:eastAsia="Times New Roman" w:hAnsi="Arial" w:cs="Arial"/>
                <w:color w:val="323132"/>
                <w:sz w:val="20"/>
                <w:szCs w:val="20"/>
                <w:lang w:val="en-GB" w:eastAsia="x-none"/>
              </w:rPr>
              <w:t>Senior Non-Key Expert</w:t>
            </w:r>
          </w:p>
        </w:tc>
      </w:tr>
      <w:tr w:rsidR="00754C88" w:rsidRPr="00754C88" w14:paraId="237825A4" w14:textId="77777777" w:rsidTr="00B04EBB">
        <w:tc>
          <w:tcPr>
            <w:tcW w:w="2947" w:type="dxa"/>
          </w:tcPr>
          <w:p w14:paraId="4A01EC62" w14:textId="53042F33" w:rsidR="00754C88" w:rsidRPr="00754C88" w:rsidRDefault="00754C88" w:rsidP="00754C88">
            <w:pPr>
              <w:spacing w:beforeLines="60" w:before="144" w:afterLines="60" w:after="144" w:line="240" w:lineRule="auto"/>
              <w:jc w:val="both"/>
              <w:rPr>
                <w:rFonts w:ascii="Arial" w:eastAsia="Times New Roman" w:hAnsi="Arial" w:cs="Arial"/>
                <w:color w:val="323132"/>
                <w:sz w:val="20"/>
                <w:szCs w:val="20"/>
                <w:lang w:val="en-GB"/>
              </w:rPr>
            </w:pPr>
            <w:r w:rsidRPr="00754C88">
              <w:rPr>
                <w:rFonts w:ascii="Arial" w:eastAsia="Times New Roman" w:hAnsi="Arial" w:cs="Arial"/>
                <w:color w:val="323132"/>
                <w:sz w:val="20"/>
                <w:szCs w:val="20"/>
                <w:lang w:val="en-GB"/>
              </w:rPr>
              <w:t>Duration of the assignment:</w:t>
            </w:r>
          </w:p>
        </w:tc>
        <w:tc>
          <w:tcPr>
            <w:tcW w:w="6409" w:type="dxa"/>
          </w:tcPr>
          <w:p w14:paraId="46D639E7" w14:textId="493AB005" w:rsidR="00754C88" w:rsidRPr="00E513A2" w:rsidRDefault="00AF4A74" w:rsidP="00754C88">
            <w:pPr>
              <w:spacing w:beforeLines="60" w:before="144" w:afterLines="60" w:after="144" w:line="240" w:lineRule="auto"/>
              <w:jc w:val="both"/>
              <w:rPr>
                <w:rFonts w:ascii="Arial" w:eastAsia="Times New Roman" w:hAnsi="Arial" w:cs="Arial"/>
                <w:color w:val="323132"/>
                <w:sz w:val="20"/>
                <w:szCs w:val="20"/>
                <w:lang w:val="en-GB" w:eastAsia="x-none"/>
              </w:rPr>
            </w:pPr>
            <w:r>
              <w:rPr>
                <w:rFonts w:ascii="Arial" w:eastAsia="Times New Roman" w:hAnsi="Arial" w:cs="Arial"/>
                <w:color w:val="323132"/>
                <w:sz w:val="20"/>
                <w:szCs w:val="20"/>
                <w:lang w:val="en-GB" w:eastAsia="x-none"/>
              </w:rPr>
              <w:t>2</w:t>
            </w:r>
            <w:r w:rsidR="000F21B6">
              <w:rPr>
                <w:rFonts w:ascii="Arial" w:eastAsia="Times New Roman" w:hAnsi="Arial" w:cs="Arial"/>
                <w:color w:val="323132"/>
                <w:sz w:val="20"/>
                <w:szCs w:val="20"/>
                <w:lang w:val="en-GB" w:eastAsia="x-none"/>
              </w:rPr>
              <w:t>5</w:t>
            </w:r>
            <w:r w:rsidR="008346DF" w:rsidRPr="00E513A2">
              <w:rPr>
                <w:rFonts w:ascii="Arial" w:eastAsia="Times New Roman" w:hAnsi="Arial" w:cs="Arial"/>
                <w:color w:val="323132"/>
                <w:sz w:val="20"/>
                <w:szCs w:val="20"/>
                <w:lang w:val="en-GB" w:eastAsia="x-none"/>
              </w:rPr>
              <w:t xml:space="preserve"> days </w:t>
            </w:r>
          </w:p>
        </w:tc>
      </w:tr>
      <w:tr w:rsidR="00754C88" w:rsidRPr="00754C88" w14:paraId="15130E3A" w14:textId="77777777" w:rsidTr="00B04EBB">
        <w:tc>
          <w:tcPr>
            <w:tcW w:w="2947" w:type="dxa"/>
          </w:tcPr>
          <w:p w14:paraId="21D21D56" w14:textId="54561CA3" w:rsidR="00754C88" w:rsidRPr="00754C88" w:rsidRDefault="00754C88" w:rsidP="00754C88">
            <w:pPr>
              <w:spacing w:beforeLines="60" w:before="144" w:afterLines="60" w:after="144" w:line="240" w:lineRule="auto"/>
              <w:jc w:val="both"/>
              <w:rPr>
                <w:rFonts w:ascii="Arial" w:eastAsia="Times New Roman" w:hAnsi="Arial" w:cs="Arial"/>
                <w:color w:val="323132"/>
                <w:sz w:val="20"/>
                <w:szCs w:val="20"/>
                <w:lang w:val="en-GB"/>
              </w:rPr>
            </w:pPr>
            <w:r w:rsidRPr="00754C88">
              <w:rPr>
                <w:rFonts w:ascii="Arial" w:eastAsia="Times New Roman" w:hAnsi="Arial" w:cs="Arial"/>
                <w:color w:val="323132"/>
                <w:sz w:val="20"/>
                <w:szCs w:val="20"/>
                <w:lang w:val="en-GB"/>
              </w:rPr>
              <w:t>Period of the assignment:</w:t>
            </w:r>
          </w:p>
        </w:tc>
        <w:tc>
          <w:tcPr>
            <w:tcW w:w="6409" w:type="dxa"/>
          </w:tcPr>
          <w:p w14:paraId="14BC40EA" w14:textId="7C9FEF77" w:rsidR="00754C88" w:rsidRPr="00754C88" w:rsidRDefault="00754C88" w:rsidP="00754C88">
            <w:pPr>
              <w:spacing w:beforeLines="60" w:before="144" w:afterLines="60" w:after="144" w:line="240" w:lineRule="auto"/>
              <w:jc w:val="both"/>
              <w:rPr>
                <w:rFonts w:ascii="Arial" w:eastAsia="Times New Roman" w:hAnsi="Arial" w:cs="Arial"/>
                <w:color w:val="323132"/>
                <w:sz w:val="20"/>
                <w:szCs w:val="20"/>
                <w:lang w:val="en-GB" w:eastAsia="x-none"/>
              </w:rPr>
            </w:pPr>
            <w:r w:rsidRPr="00754C88">
              <w:rPr>
                <w:rFonts w:ascii="Arial" w:eastAsia="Times New Roman" w:hAnsi="Arial" w:cs="Arial"/>
                <w:color w:val="323132"/>
                <w:sz w:val="20"/>
                <w:szCs w:val="20"/>
                <w:lang w:val="en-GB"/>
              </w:rPr>
              <w:t xml:space="preserve">Inputs will be provided over the period from </w:t>
            </w:r>
            <w:r w:rsidR="00631AB1">
              <w:rPr>
                <w:rFonts w:ascii="Arial" w:eastAsia="Times New Roman" w:hAnsi="Arial" w:cs="Arial"/>
                <w:color w:val="323132"/>
                <w:sz w:val="20"/>
                <w:szCs w:val="20"/>
                <w:lang w:val="en-GB"/>
              </w:rPr>
              <w:t>November</w:t>
            </w:r>
            <w:r w:rsidR="003030F2" w:rsidRPr="003030F2">
              <w:rPr>
                <w:rFonts w:ascii="Arial" w:eastAsia="Times New Roman" w:hAnsi="Arial" w:cs="Arial"/>
                <w:color w:val="323132"/>
                <w:sz w:val="20"/>
                <w:szCs w:val="20"/>
                <w:lang w:val="en-GB"/>
              </w:rPr>
              <w:t xml:space="preserve"> 202</w:t>
            </w:r>
            <w:r w:rsidR="00631AB1">
              <w:rPr>
                <w:rFonts w:ascii="Arial" w:eastAsia="Times New Roman" w:hAnsi="Arial" w:cs="Arial"/>
                <w:color w:val="323132"/>
                <w:sz w:val="20"/>
                <w:szCs w:val="20"/>
                <w:lang w:val="en-GB"/>
              </w:rPr>
              <w:t>2</w:t>
            </w:r>
            <w:r w:rsidR="003030F2" w:rsidRPr="003030F2">
              <w:rPr>
                <w:rFonts w:ascii="Arial" w:eastAsia="Times New Roman" w:hAnsi="Arial" w:cs="Arial"/>
                <w:color w:val="323132"/>
                <w:sz w:val="20"/>
                <w:szCs w:val="20"/>
                <w:lang w:val="en-GB"/>
              </w:rPr>
              <w:t xml:space="preserve"> </w:t>
            </w:r>
            <w:r w:rsidRPr="00754C88">
              <w:rPr>
                <w:rFonts w:ascii="Arial" w:eastAsia="Times New Roman" w:hAnsi="Arial" w:cs="Arial"/>
                <w:color w:val="323132"/>
                <w:sz w:val="20"/>
                <w:szCs w:val="20"/>
                <w:lang w:val="en-GB"/>
              </w:rPr>
              <w:t xml:space="preserve">to </w:t>
            </w:r>
            <w:r w:rsidR="00631AB1">
              <w:rPr>
                <w:rFonts w:ascii="Arial" w:eastAsia="Times New Roman" w:hAnsi="Arial" w:cs="Arial"/>
                <w:color w:val="323132"/>
                <w:sz w:val="20"/>
                <w:szCs w:val="20"/>
                <w:lang w:val="en-GB"/>
              </w:rPr>
              <w:t>August</w:t>
            </w:r>
            <w:r w:rsidRPr="00754C88">
              <w:rPr>
                <w:rFonts w:ascii="Arial" w:eastAsia="Times New Roman" w:hAnsi="Arial" w:cs="Arial"/>
                <w:color w:val="323132"/>
                <w:sz w:val="20"/>
                <w:szCs w:val="20"/>
                <w:lang w:val="en-GB"/>
              </w:rPr>
              <w:t xml:space="preserve"> 202</w:t>
            </w:r>
            <w:r w:rsidR="00631AB1">
              <w:rPr>
                <w:rFonts w:ascii="Arial" w:eastAsia="Times New Roman" w:hAnsi="Arial" w:cs="Arial"/>
                <w:color w:val="323132"/>
                <w:sz w:val="20"/>
                <w:szCs w:val="20"/>
                <w:lang w:val="en-GB"/>
              </w:rPr>
              <w:t>3</w:t>
            </w:r>
            <w:r w:rsidRPr="00754C88">
              <w:rPr>
                <w:rFonts w:ascii="Arial" w:eastAsia="Times New Roman" w:hAnsi="Arial" w:cs="Arial"/>
                <w:color w:val="323132"/>
                <w:sz w:val="20"/>
                <w:szCs w:val="20"/>
                <w:lang w:val="en-GB"/>
              </w:rPr>
              <w:t>.</w:t>
            </w:r>
          </w:p>
        </w:tc>
      </w:tr>
      <w:tr w:rsidR="00754C88" w:rsidRPr="00754C88" w14:paraId="0982E1DE" w14:textId="77777777" w:rsidTr="00B04EBB">
        <w:tc>
          <w:tcPr>
            <w:tcW w:w="2947" w:type="dxa"/>
          </w:tcPr>
          <w:p w14:paraId="4CF100EF" w14:textId="2DD9185B" w:rsidR="00754C88" w:rsidRPr="00754C88" w:rsidRDefault="00754C88" w:rsidP="00754C88">
            <w:pPr>
              <w:spacing w:beforeLines="60" w:before="144" w:afterLines="60" w:after="144" w:line="240" w:lineRule="auto"/>
              <w:jc w:val="both"/>
              <w:rPr>
                <w:rFonts w:ascii="Arial" w:eastAsia="Times New Roman" w:hAnsi="Arial" w:cs="Arial"/>
                <w:color w:val="323132"/>
                <w:sz w:val="20"/>
                <w:szCs w:val="20"/>
                <w:lang w:val="en-GB"/>
              </w:rPr>
            </w:pPr>
            <w:r w:rsidRPr="00754C88">
              <w:rPr>
                <w:rFonts w:ascii="Arial" w:eastAsia="Times New Roman" w:hAnsi="Arial" w:cs="Arial"/>
                <w:color w:val="323132"/>
                <w:sz w:val="20"/>
                <w:szCs w:val="20"/>
                <w:lang w:val="en-GB"/>
              </w:rPr>
              <w:t>Location:</w:t>
            </w:r>
          </w:p>
        </w:tc>
        <w:tc>
          <w:tcPr>
            <w:tcW w:w="6409" w:type="dxa"/>
          </w:tcPr>
          <w:p w14:paraId="54BD9ED3" w14:textId="7C882070" w:rsidR="00754C88" w:rsidRPr="00754C88" w:rsidRDefault="00754C88" w:rsidP="00754C88">
            <w:pPr>
              <w:spacing w:beforeLines="60" w:before="144" w:afterLines="60" w:after="144" w:line="240" w:lineRule="auto"/>
              <w:jc w:val="both"/>
              <w:rPr>
                <w:rFonts w:ascii="Arial" w:eastAsia="Times New Roman" w:hAnsi="Arial" w:cs="Arial"/>
                <w:color w:val="323132"/>
                <w:sz w:val="20"/>
                <w:szCs w:val="20"/>
                <w:lang w:val="en-GB" w:eastAsia="x-none"/>
              </w:rPr>
            </w:pPr>
            <w:r w:rsidRPr="00754C88">
              <w:rPr>
                <w:rFonts w:ascii="Arial" w:eastAsia="Times New Roman" w:hAnsi="Arial" w:cs="Arial"/>
                <w:color w:val="323132"/>
                <w:sz w:val="20"/>
                <w:szCs w:val="20"/>
                <w:lang w:val="en-GB"/>
              </w:rPr>
              <w:t xml:space="preserve">Belgrade, Serbia. </w:t>
            </w:r>
          </w:p>
        </w:tc>
      </w:tr>
      <w:tr w:rsidR="00754C88" w:rsidRPr="00754C88" w14:paraId="56E0CCAD" w14:textId="77777777" w:rsidTr="00B04EBB">
        <w:tc>
          <w:tcPr>
            <w:tcW w:w="9356" w:type="dxa"/>
            <w:gridSpan w:val="2"/>
          </w:tcPr>
          <w:p w14:paraId="24C2D6F8" w14:textId="70F095A4" w:rsidR="006162F9" w:rsidRPr="006A21C0" w:rsidRDefault="00754C88" w:rsidP="00754C88">
            <w:pPr>
              <w:spacing w:beforeLines="60" w:before="144" w:afterLines="60" w:after="144" w:line="240" w:lineRule="auto"/>
              <w:jc w:val="both"/>
              <w:rPr>
                <w:rFonts w:ascii="Arial" w:eastAsia="Times New Roman" w:hAnsi="Arial" w:cs="Arial"/>
                <w:b/>
                <w:color w:val="323132"/>
                <w:sz w:val="20"/>
                <w:szCs w:val="20"/>
                <w:lang w:val="en-GB"/>
              </w:rPr>
            </w:pPr>
            <w:r w:rsidRPr="00754C88">
              <w:rPr>
                <w:rFonts w:ascii="Arial" w:eastAsia="Times New Roman" w:hAnsi="Arial" w:cs="Arial"/>
                <w:b/>
                <w:color w:val="323132"/>
                <w:sz w:val="20"/>
                <w:szCs w:val="20"/>
                <w:lang w:val="en-GB"/>
              </w:rPr>
              <w:t>Project Background and expected results</w:t>
            </w:r>
          </w:p>
          <w:p w14:paraId="4F0A665D" w14:textId="2A1C8FBC" w:rsidR="00754C88" w:rsidRPr="00754C88" w:rsidRDefault="00754C88" w:rsidP="00754C88">
            <w:pPr>
              <w:spacing w:beforeLines="60" w:before="144" w:afterLines="60" w:after="144" w:line="240" w:lineRule="auto"/>
              <w:jc w:val="both"/>
              <w:rPr>
                <w:rFonts w:ascii="Arial" w:eastAsia="Times New Roman" w:hAnsi="Arial" w:cs="Arial"/>
                <w:color w:val="323132"/>
                <w:sz w:val="20"/>
                <w:szCs w:val="20"/>
                <w:lang w:val="en-GB" w:eastAsia="x-none"/>
              </w:rPr>
            </w:pPr>
            <w:r w:rsidRPr="00754C88">
              <w:rPr>
                <w:rFonts w:ascii="Arial" w:eastAsia="Times New Roman" w:hAnsi="Arial" w:cs="Arial"/>
                <w:color w:val="323132"/>
                <w:sz w:val="20"/>
                <w:szCs w:val="20"/>
                <w:lang w:val="en-GB" w:eastAsia="x-none"/>
              </w:rPr>
              <w:t>The purpose of this Contract is to strengthen technical and administrative capacity of the Serbian administration in relation to the European Integration process and enhance effective and efficient management and absorption of EU pre-accession funds, with the special emphasis on development and preparation of energy and environment infrastructure projects.</w:t>
            </w:r>
          </w:p>
          <w:p w14:paraId="5D05E24D" w14:textId="149D2DFD" w:rsidR="00754C88" w:rsidRPr="00754C88" w:rsidRDefault="00754C88" w:rsidP="00754C88">
            <w:pPr>
              <w:spacing w:beforeLines="60" w:before="144" w:afterLines="60" w:after="144" w:line="240" w:lineRule="auto"/>
              <w:jc w:val="both"/>
              <w:rPr>
                <w:rFonts w:ascii="Arial" w:eastAsia="Times New Roman" w:hAnsi="Arial" w:cs="Arial"/>
                <w:color w:val="323132"/>
                <w:sz w:val="20"/>
                <w:szCs w:val="20"/>
                <w:lang w:val="en-GB" w:eastAsia="x-none"/>
              </w:rPr>
            </w:pPr>
            <w:r w:rsidRPr="00754C88">
              <w:rPr>
                <w:rFonts w:ascii="Arial" w:eastAsia="Times New Roman" w:hAnsi="Arial" w:cs="Arial"/>
                <w:color w:val="323132"/>
                <w:sz w:val="20"/>
                <w:szCs w:val="20"/>
                <w:lang w:val="en-GB" w:eastAsia="x-none"/>
              </w:rPr>
              <w:t>Results and outputs to be achieved:</w:t>
            </w:r>
          </w:p>
          <w:p w14:paraId="45C78455" w14:textId="77777777" w:rsidR="00754C88" w:rsidRPr="00754C88" w:rsidRDefault="00754C88" w:rsidP="00754C88">
            <w:pPr>
              <w:autoSpaceDE w:val="0"/>
              <w:autoSpaceDN w:val="0"/>
              <w:adjustRightInd w:val="0"/>
              <w:spacing w:beforeLines="60" w:before="144" w:afterLines="60" w:after="144" w:line="240" w:lineRule="auto"/>
              <w:jc w:val="both"/>
              <w:rPr>
                <w:rFonts w:ascii="Arial" w:eastAsia="Times New Roman" w:hAnsi="Arial" w:cs="Arial"/>
                <w:color w:val="323132"/>
                <w:sz w:val="20"/>
                <w:szCs w:val="20"/>
                <w:lang w:val="en-GB"/>
              </w:rPr>
            </w:pPr>
            <w:r w:rsidRPr="00754C88">
              <w:rPr>
                <w:rFonts w:ascii="Arial" w:eastAsia="Times New Roman" w:hAnsi="Arial" w:cs="Arial"/>
                <w:b/>
                <w:color w:val="323132"/>
                <w:sz w:val="20"/>
                <w:szCs w:val="20"/>
                <w:lang w:val="en-GB"/>
              </w:rPr>
              <w:t>Result 1:</w:t>
            </w:r>
            <w:r w:rsidRPr="00754C88">
              <w:rPr>
                <w:rFonts w:ascii="Arial" w:eastAsia="Times New Roman" w:hAnsi="Arial" w:cs="Arial"/>
                <w:color w:val="323132"/>
                <w:sz w:val="20"/>
                <w:szCs w:val="20"/>
                <w:lang w:val="en-GB"/>
              </w:rPr>
              <w:t xml:space="preserve"> Priority investment projects in energy and environmental sectors prepared for implementation</w:t>
            </w:r>
          </w:p>
          <w:p w14:paraId="122C7AFC" w14:textId="77777777" w:rsidR="00754C88" w:rsidRPr="00754C88" w:rsidRDefault="00754C88" w:rsidP="00754C88">
            <w:pPr>
              <w:spacing w:beforeLines="60" w:before="144" w:afterLines="60" w:after="144" w:line="240" w:lineRule="auto"/>
              <w:jc w:val="both"/>
              <w:rPr>
                <w:rFonts w:ascii="Arial" w:eastAsia="Times New Roman" w:hAnsi="Arial" w:cs="Arial"/>
                <w:color w:val="323132"/>
                <w:sz w:val="20"/>
                <w:szCs w:val="20"/>
                <w:lang w:val="en-GB"/>
              </w:rPr>
            </w:pPr>
            <w:r w:rsidRPr="00754C88">
              <w:rPr>
                <w:rFonts w:ascii="Arial" w:eastAsia="Times New Roman" w:hAnsi="Arial" w:cs="Arial"/>
                <w:b/>
                <w:color w:val="323132"/>
                <w:sz w:val="20"/>
                <w:szCs w:val="20"/>
                <w:lang w:val="en-GB"/>
              </w:rPr>
              <w:t>Output:</w:t>
            </w:r>
            <w:r w:rsidRPr="00754C88">
              <w:rPr>
                <w:rFonts w:ascii="Arial" w:eastAsia="Times New Roman" w:hAnsi="Arial" w:cs="Arial"/>
                <w:color w:val="323132"/>
                <w:sz w:val="20"/>
                <w:szCs w:val="20"/>
                <w:lang w:val="en-GB"/>
              </w:rPr>
              <w:t xml:space="preserve"> Technical documentation for infrastructure projects from energy and environment sectors to be financed under IPA 2014-2020 programming period prepared in accordance with the Serbian legal requirements and EU standards and norms, and ready for implementation. </w:t>
            </w:r>
          </w:p>
          <w:p w14:paraId="4F76E1AC" w14:textId="77777777" w:rsidR="00754C88" w:rsidRPr="00754C88" w:rsidRDefault="00754C88" w:rsidP="00754C88">
            <w:pPr>
              <w:autoSpaceDE w:val="0"/>
              <w:autoSpaceDN w:val="0"/>
              <w:adjustRightInd w:val="0"/>
              <w:spacing w:beforeLines="60" w:before="144" w:afterLines="60" w:after="144" w:line="240" w:lineRule="auto"/>
              <w:jc w:val="both"/>
              <w:rPr>
                <w:rFonts w:ascii="Arial" w:eastAsia="Times New Roman" w:hAnsi="Arial" w:cs="Arial"/>
                <w:b/>
                <w:bCs/>
                <w:color w:val="323132"/>
                <w:sz w:val="20"/>
                <w:szCs w:val="20"/>
                <w:lang w:val="en-GB"/>
              </w:rPr>
            </w:pPr>
            <w:r w:rsidRPr="00754C88">
              <w:rPr>
                <w:rFonts w:ascii="Arial" w:eastAsia="Times New Roman" w:hAnsi="Arial" w:cs="Arial"/>
                <w:b/>
                <w:bCs/>
                <w:color w:val="323132"/>
                <w:sz w:val="20"/>
                <w:szCs w:val="20"/>
                <w:lang w:val="en-GB"/>
              </w:rPr>
              <w:t xml:space="preserve">Result 2: </w:t>
            </w:r>
            <w:r w:rsidRPr="00754C88">
              <w:rPr>
                <w:rFonts w:ascii="Arial" w:eastAsia="Times New Roman" w:hAnsi="Arial" w:cs="Arial"/>
                <w:bCs/>
                <w:color w:val="323132"/>
                <w:sz w:val="20"/>
                <w:szCs w:val="20"/>
                <w:lang w:val="en-GB"/>
              </w:rPr>
              <w:t>Relevant national and local institution staff dealing with preparation of technical documentation in energy and environment sectors is properly trained.</w:t>
            </w:r>
            <w:r w:rsidRPr="00754C88">
              <w:rPr>
                <w:rFonts w:ascii="Arial" w:eastAsia="Times New Roman" w:hAnsi="Arial" w:cs="Arial"/>
                <w:b/>
                <w:bCs/>
                <w:color w:val="323132"/>
                <w:sz w:val="20"/>
                <w:szCs w:val="20"/>
                <w:lang w:val="en-GB"/>
              </w:rPr>
              <w:t xml:space="preserve"> </w:t>
            </w:r>
          </w:p>
          <w:p w14:paraId="7C50152E" w14:textId="1BE3D34C" w:rsidR="00893661" w:rsidRPr="009D43EB" w:rsidRDefault="00754C88" w:rsidP="00DF7B22">
            <w:pPr>
              <w:spacing w:beforeLines="60" w:before="144" w:afterLines="60" w:after="144" w:line="240" w:lineRule="auto"/>
              <w:jc w:val="both"/>
              <w:rPr>
                <w:rFonts w:ascii="Arial" w:eastAsia="Times New Roman" w:hAnsi="Arial" w:cs="Arial"/>
                <w:bCs/>
                <w:color w:val="323132"/>
                <w:sz w:val="20"/>
                <w:szCs w:val="20"/>
                <w:lang w:val="en-GB"/>
              </w:rPr>
            </w:pPr>
            <w:r w:rsidRPr="00754C88">
              <w:rPr>
                <w:rFonts w:ascii="Arial" w:eastAsia="Times New Roman" w:hAnsi="Arial" w:cs="Arial"/>
                <w:b/>
                <w:color w:val="323132"/>
                <w:sz w:val="20"/>
                <w:szCs w:val="20"/>
                <w:lang w:val="en-GB"/>
              </w:rPr>
              <w:t>Output:</w:t>
            </w:r>
            <w:r w:rsidRPr="00754C88">
              <w:rPr>
                <w:rFonts w:ascii="Arial" w:eastAsia="Times New Roman" w:hAnsi="Arial" w:cs="Arial"/>
                <w:b/>
                <w:bCs/>
                <w:color w:val="323132"/>
                <w:sz w:val="20"/>
                <w:szCs w:val="20"/>
                <w:lang w:val="en-GB"/>
              </w:rPr>
              <w:t xml:space="preserve"> </w:t>
            </w:r>
            <w:r w:rsidRPr="00754C88">
              <w:rPr>
                <w:rFonts w:ascii="Arial" w:eastAsia="Times New Roman" w:hAnsi="Arial" w:cs="Arial"/>
                <w:bCs/>
                <w:color w:val="323132"/>
                <w:sz w:val="20"/>
                <w:szCs w:val="20"/>
                <w:lang w:val="en-GB"/>
              </w:rPr>
              <w:t xml:space="preserve">Training courses encompassing main principles related of preparation of technical documentation in energy and environment sectors, prepared and delivered to the main stakeholders in energy and environment sectors. </w:t>
            </w:r>
          </w:p>
          <w:p w14:paraId="18704A66" w14:textId="37F63B5C" w:rsidR="006A21C0" w:rsidRDefault="006A21C0" w:rsidP="00DF7B22">
            <w:pPr>
              <w:spacing w:beforeLines="60" w:before="144" w:afterLines="60" w:after="144" w:line="240" w:lineRule="auto"/>
              <w:jc w:val="both"/>
              <w:rPr>
                <w:rFonts w:ascii="Arial" w:eastAsia="Times New Roman" w:hAnsi="Arial" w:cs="Arial"/>
                <w:b/>
                <w:color w:val="323132"/>
                <w:sz w:val="20"/>
                <w:szCs w:val="20"/>
                <w:lang w:val="en-GB"/>
              </w:rPr>
            </w:pPr>
            <w:r w:rsidRPr="006A21C0">
              <w:rPr>
                <w:rFonts w:ascii="Arial" w:eastAsia="Times New Roman" w:hAnsi="Arial" w:cs="Arial"/>
                <w:b/>
                <w:color w:val="323132"/>
                <w:sz w:val="20"/>
                <w:szCs w:val="20"/>
                <w:lang w:val="en-GB"/>
              </w:rPr>
              <w:t>General Experts Tasks:</w:t>
            </w:r>
          </w:p>
          <w:p w14:paraId="7D5BA697" w14:textId="10B574D5" w:rsidR="006C28B5" w:rsidRDefault="006C28B5" w:rsidP="006A21C0">
            <w:pPr>
              <w:spacing w:beforeLines="60" w:before="144" w:afterLines="60" w:after="144" w:line="240" w:lineRule="auto"/>
              <w:jc w:val="both"/>
              <w:rPr>
                <w:rFonts w:ascii="Arial" w:eastAsia="Times New Roman" w:hAnsi="Arial" w:cs="Arial"/>
                <w:bCs/>
                <w:color w:val="323132"/>
                <w:sz w:val="20"/>
                <w:szCs w:val="20"/>
                <w:lang w:val="en-GB"/>
              </w:rPr>
            </w:pPr>
            <w:r>
              <w:rPr>
                <w:rFonts w:ascii="Arial" w:eastAsia="Times New Roman" w:hAnsi="Arial" w:cs="Arial"/>
                <w:bCs/>
                <w:color w:val="323132"/>
                <w:sz w:val="20"/>
                <w:szCs w:val="20"/>
                <w:lang w:val="en-GB"/>
              </w:rPr>
              <w:t>The Expert will be engaged on all EU PPF6 environmental sub-projects.</w:t>
            </w:r>
          </w:p>
          <w:p w14:paraId="3FE9096F" w14:textId="2FEB9FBB" w:rsidR="006A21C0" w:rsidRPr="006A21C0" w:rsidRDefault="006A21C0" w:rsidP="006A21C0">
            <w:pPr>
              <w:spacing w:beforeLines="60" w:before="144" w:afterLines="60" w:after="144" w:line="240" w:lineRule="auto"/>
              <w:jc w:val="both"/>
              <w:rPr>
                <w:rFonts w:ascii="Arial" w:eastAsia="Times New Roman" w:hAnsi="Arial" w:cs="Arial"/>
                <w:bCs/>
                <w:color w:val="323132"/>
                <w:sz w:val="20"/>
                <w:szCs w:val="20"/>
                <w:lang w:val="en-GB"/>
              </w:rPr>
            </w:pPr>
            <w:r w:rsidRPr="006A21C0">
              <w:rPr>
                <w:rFonts w:ascii="Arial" w:eastAsia="Times New Roman" w:hAnsi="Arial" w:cs="Arial"/>
                <w:bCs/>
                <w:color w:val="323132"/>
                <w:sz w:val="20"/>
                <w:szCs w:val="20"/>
                <w:lang w:val="en-GB"/>
              </w:rPr>
              <w:t>The general activities and duties to be executed by the Expert are as follows:</w:t>
            </w:r>
          </w:p>
          <w:p w14:paraId="323207F4" w14:textId="25C19750" w:rsidR="00B36758" w:rsidRPr="00B36758" w:rsidRDefault="00B36758" w:rsidP="00B36758">
            <w:pPr>
              <w:numPr>
                <w:ilvl w:val="0"/>
                <w:numId w:val="3"/>
              </w:numPr>
              <w:spacing w:beforeLines="60" w:before="144" w:afterLines="60" w:after="144" w:line="240" w:lineRule="auto"/>
              <w:jc w:val="both"/>
              <w:rPr>
                <w:rFonts w:ascii="Arial" w:eastAsia="Times New Roman" w:hAnsi="Arial" w:cs="Arial"/>
                <w:bCs/>
                <w:color w:val="323132"/>
                <w:sz w:val="20"/>
                <w:szCs w:val="20"/>
                <w:lang w:val="en-GB"/>
              </w:rPr>
            </w:pPr>
            <w:r w:rsidRPr="00B36758">
              <w:rPr>
                <w:rFonts w:ascii="Arial" w:eastAsia="Times New Roman" w:hAnsi="Arial" w:cs="Arial"/>
                <w:bCs/>
                <w:color w:val="323132"/>
                <w:sz w:val="20"/>
                <w:szCs w:val="20"/>
                <w:lang w:val="en-GB"/>
              </w:rPr>
              <w:t>Project related data collection and review</w:t>
            </w:r>
          </w:p>
          <w:p w14:paraId="4467DDF4" w14:textId="5AECF9B0" w:rsidR="00B36758" w:rsidRPr="00B36758" w:rsidRDefault="00B36758" w:rsidP="00B36758">
            <w:pPr>
              <w:numPr>
                <w:ilvl w:val="0"/>
                <w:numId w:val="3"/>
              </w:numPr>
              <w:spacing w:beforeLines="60" w:before="144" w:afterLines="60" w:after="144" w:line="240" w:lineRule="auto"/>
              <w:jc w:val="both"/>
              <w:rPr>
                <w:rFonts w:ascii="Arial" w:eastAsia="Times New Roman" w:hAnsi="Arial" w:cs="Arial"/>
                <w:bCs/>
                <w:color w:val="323132"/>
                <w:sz w:val="20"/>
                <w:szCs w:val="20"/>
                <w:lang w:val="en-GB"/>
              </w:rPr>
            </w:pPr>
            <w:r w:rsidRPr="00B36758">
              <w:rPr>
                <w:rFonts w:ascii="Arial" w:eastAsia="Times New Roman" w:hAnsi="Arial" w:cs="Arial"/>
                <w:bCs/>
                <w:color w:val="323132"/>
                <w:sz w:val="20"/>
                <w:szCs w:val="20"/>
                <w:lang w:val="en-GB"/>
              </w:rPr>
              <w:t>Screening of previously developed spatial planning and technical documentation</w:t>
            </w:r>
          </w:p>
          <w:p w14:paraId="5FBAA9F6" w14:textId="5033B4D8" w:rsidR="00B36758" w:rsidRPr="00B36758" w:rsidRDefault="00B36758" w:rsidP="00B36758">
            <w:pPr>
              <w:numPr>
                <w:ilvl w:val="0"/>
                <w:numId w:val="3"/>
              </w:numPr>
              <w:spacing w:beforeLines="60" w:before="144" w:afterLines="60" w:after="144" w:line="240" w:lineRule="auto"/>
              <w:jc w:val="both"/>
              <w:rPr>
                <w:rFonts w:ascii="Arial" w:eastAsia="Times New Roman" w:hAnsi="Arial" w:cs="Arial"/>
                <w:bCs/>
                <w:color w:val="323132"/>
                <w:sz w:val="20"/>
                <w:szCs w:val="20"/>
                <w:lang w:val="en-GB"/>
              </w:rPr>
            </w:pPr>
            <w:r w:rsidRPr="00B36758">
              <w:rPr>
                <w:rFonts w:ascii="Arial" w:eastAsia="Times New Roman" w:hAnsi="Arial" w:cs="Arial"/>
                <w:bCs/>
                <w:color w:val="323132"/>
                <w:sz w:val="20"/>
                <w:szCs w:val="20"/>
                <w:lang w:val="en-GB"/>
              </w:rPr>
              <w:lastRenderedPageBreak/>
              <w:t xml:space="preserve">Preparation of the requirements for site surveys and investigation </w:t>
            </w:r>
            <w:proofErr w:type="gramStart"/>
            <w:r w:rsidRPr="00B36758">
              <w:rPr>
                <w:rFonts w:ascii="Arial" w:eastAsia="Times New Roman" w:hAnsi="Arial" w:cs="Arial"/>
                <w:bCs/>
                <w:color w:val="323132"/>
                <w:sz w:val="20"/>
                <w:szCs w:val="20"/>
                <w:lang w:val="en-GB"/>
              </w:rPr>
              <w:t>works,</w:t>
            </w:r>
            <w:proofErr w:type="gramEnd"/>
            <w:r w:rsidRPr="00B36758">
              <w:rPr>
                <w:rFonts w:ascii="Arial" w:eastAsia="Times New Roman" w:hAnsi="Arial" w:cs="Arial"/>
                <w:bCs/>
                <w:color w:val="323132"/>
                <w:sz w:val="20"/>
                <w:szCs w:val="20"/>
                <w:lang w:val="en-GB"/>
              </w:rPr>
              <w:t xml:space="preserve"> monitoring and coordination of these activities</w:t>
            </w:r>
          </w:p>
          <w:p w14:paraId="171737C8" w14:textId="6AADAF7D" w:rsidR="00B36758" w:rsidRPr="00B36758" w:rsidRDefault="00B36758" w:rsidP="00B36758">
            <w:pPr>
              <w:numPr>
                <w:ilvl w:val="0"/>
                <w:numId w:val="3"/>
              </w:numPr>
              <w:spacing w:beforeLines="60" w:before="144" w:afterLines="60" w:after="144" w:line="240" w:lineRule="auto"/>
              <w:jc w:val="both"/>
              <w:rPr>
                <w:rFonts w:ascii="Arial" w:eastAsia="Times New Roman" w:hAnsi="Arial" w:cs="Arial"/>
                <w:bCs/>
                <w:color w:val="323132"/>
                <w:sz w:val="20"/>
                <w:szCs w:val="20"/>
                <w:lang w:val="en-GB"/>
              </w:rPr>
            </w:pPr>
            <w:r w:rsidRPr="00B36758">
              <w:rPr>
                <w:rFonts w:ascii="Arial" w:eastAsia="Times New Roman" w:hAnsi="Arial" w:cs="Arial"/>
                <w:bCs/>
                <w:color w:val="323132"/>
                <w:sz w:val="20"/>
                <w:szCs w:val="20"/>
                <w:lang w:val="en-GB"/>
              </w:rPr>
              <w:t>Preparation of parts of project documentation related to their expertise (e.g., project designs, feasibility studies, EIAs, CBAs, etc.</w:t>
            </w:r>
          </w:p>
          <w:p w14:paraId="70C3BF55" w14:textId="24323344" w:rsidR="00B36758" w:rsidRPr="00B36758" w:rsidRDefault="00B36758" w:rsidP="00B36758">
            <w:pPr>
              <w:numPr>
                <w:ilvl w:val="0"/>
                <w:numId w:val="3"/>
              </w:numPr>
              <w:spacing w:beforeLines="60" w:before="144" w:afterLines="60" w:after="144" w:line="240" w:lineRule="auto"/>
              <w:jc w:val="both"/>
              <w:rPr>
                <w:rFonts w:ascii="Arial" w:eastAsia="Times New Roman" w:hAnsi="Arial" w:cs="Arial"/>
                <w:bCs/>
                <w:color w:val="323132"/>
                <w:sz w:val="20"/>
                <w:szCs w:val="20"/>
                <w:lang w:val="en-GB"/>
              </w:rPr>
            </w:pPr>
            <w:r w:rsidRPr="00B36758">
              <w:rPr>
                <w:rFonts w:ascii="Arial" w:eastAsia="Times New Roman" w:hAnsi="Arial" w:cs="Arial"/>
                <w:bCs/>
                <w:color w:val="323132"/>
                <w:sz w:val="20"/>
                <w:szCs w:val="20"/>
                <w:lang w:val="en-GB"/>
              </w:rPr>
              <w:t>Preparation of parts of Tender documentation related to their expertise</w:t>
            </w:r>
          </w:p>
          <w:p w14:paraId="20900B41" w14:textId="34E57DE9" w:rsidR="00B36758" w:rsidRPr="00B36758" w:rsidRDefault="00B36758" w:rsidP="00B36758">
            <w:pPr>
              <w:numPr>
                <w:ilvl w:val="0"/>
                <w:numId w:val="3"/>
              </w:numPr>
              <w:spacing w:beforeLines="60" w:before="144" w:afterLines="60" w:after="144" w:line="240" w:lineRule="auto"/>
              <w:jc w:val="both"/>
              <w:rPr>
                <w:rFonts w:ascii="Arial" w:eastAsia="Times New Roman" w:hAnsi="Arial" w:cs="Arial"/>
                <w:bCs/>
                <w:color w:val="323132"/>
                <w:sz w:val="20"/>
                <w:szCs w:val="20"/>
                <w:lang w:val="en-GB"/>
              </w:rPr>
            </w:pPr>
            <w:r w:rsidRPr="00B36758">
              <w:rPr>
                <w:rFonts w:ascii="Arial" w:eastAsia="Times New Roman" w:hAnsi="Arial" w:cs="Arial"/>
                <w:bCs/>
                <w:color w:val="323132"/>
                <w:sz w:val="20"/>
                <w:szCs w:val="20"/>
                <w:lang w:val="en-GB"/>
              </w:rPr>
              <w:t>Maintain close relations with the project beneficiaries in a way the work is carried out under their auspices and in full ownership - all potential differences of opinion with the beneficiaries should be left for discussion in the presence of PPF6 Key Experts</w:t>
            </w:r>
          </w:p>
          <w:p w14:paraId="510C7B54" w14:textId="631C350D" w:rsidR="00B36758" w:rsidRPr="00B36758" w:rsidRDefault="00B36758" w:rsidP="00B36758">
            <w:pPr>
              <w:numPr>
                <w:ilvl w:val="0"/>
                <w:numId w:val="3"/>
              </w:numPr>
              <w:spacing w:beforeLines="60" w:before="144" w:afterLines="60" w:after="144" w:line="240" w:lineRule="auto"/>
              <w:jc w:val="both"/>
              <w:rPr>
                <w:rFonts w:ascii="Arial" w:eastAsia="Times New Roman" w:hAnsi="Arial" w:cs="Arial"/>
                <w:bCs/>
                <w:color w:val="323132"/>
                <w:sz w:val="20"/>
                <w:szCs w:val="20"/>
                <w:lang w:val="en-GB"/>
              </w:rPr>
            </w:pPr>
            <w:r w:rsidRPr="00B36758">
              <w:rPr>
                <w:rFonts w:ascii="Arial" w:eastAsia="Times New Roman" w:hAnsi="Arial" w:cs="Arial"/>
                <w:bCs/>
                <w:color w:val="323132"/>
                <w:sz w:val="20"/>
                <w:szCs w:val="20"/>
                <w:lang w:val="en-GB"/>
              </w:rPr>
              <w:t>Provide continuous update on project progress to EU PPF6 Key Experts especially on the conditions hampering the advancement of the preparatory works and provision of project necessary inputs</w:t>
            </w:r>
          </w:p>
          <w:p w14:paraId="1550C6A1" w14:textId="66E420A0" w:rsidR="00DF7B22" w:rsidRPr="006A21C0" w:rsidRDefault="00B36758" w:rsidP="00B36758">
            <w:pPr>
              <w:numPr>
                <w:ilvl w:val="0"/>
                <w:numId w:val="3"/>
              </w:numPr>
              <w:spacing w:beforeLines="60" w:before="144" w:afterLines="60" w:after="144" w:line="240" w:lineRule="auto"/>
              <w:jc w:val="both"/>
              <w:rPr>
                <w:rFonts w:ascii="Arial" w:eastAsia="Times New Roman" w:hAnsi="Arial" w:cs="Arial"/>
                <w:bCs/>
                <w:color w:val="323132"/>
                <w:sz w:val="20"/>
                <w:szCs w:val="20"/>
                <w:lang w:val="en-GB"/>
              </w:rPr>
            </w:pPr>
            <w:r w:rsidRPr="00B36758">
              <w:rPr>
                <w:rFonts w:ascii="Arial" w:eastAsia="Times New Roman" w:hAnsi="Arial" w:cs="Arial"/>
                <w:bCs/>
                <w:color w:val="323132"/>
                <w:sz w:val="20"/>
                <w:szCs w:val="20"/>
                <w:lang w:val="en-GB"/>
              </w:rPr>
              <w:t>Suggest in timely fashion to EU PPF6 Key Experts appropriate mitigation measures to avoid potential project risks</w:t>
            </w:r>
            <w:r w:rsidR="003030F2" w:rsidRPr="003030F2">
              <w:rPr>
                <w:rFonts w:ascii="Arial" w:eastAsia="Times New Roman" w:hAnsi="Arial" w:cs="Arial"/>
                <w:bCs/>
                <w:color w:val="323132"/>
                <w:sz w:val="20"/>
                <w:szCs w:val="20"/>
                <w:lang w:val="en-GB"/>
              </w:rPr>
              <w:t>;</w:t>
            </w:r>
          </w:p>
        </w:tc>
      </w:tr>
      <w:tr w:rsidR="00754C88" w:rsidRPr="00754C88" w14:paraId="70627C78" w14:textId="77777777" w:rsidTr="00B04EBB">
        <w:tc>
          <w:tcPr>
            <w:tcW w:w="9356" w:type="dxa"/>
            <w:gridSpan w:val="2"/>
          </w:tcPr>
          <w:p w14:paraId="718FC9D7" w14:textId="77777777" w:rsidR="006A21C0" w:rsidRDefault="006A21C0" w:rsidP="006254EF">
            <w:pPr>
              <w:spacing w:beforeLines="60" w:before="144" w:afterLines="60" w:after="144" w:line="240" w:lineRule="auto"/>
              <w:jc w:val="both"/>
              <w:rPr>
                <w:rFonts w:ascii="Arial" w:eastAsia="Times New Roman" w:hAnsi="Arial" w:cs="Arial"/>
                <w:b/>
                <w:color w:val="323132"/>
                <w:sz w:val="20"/>
                <w:szCs w:val="20"/>
                <w:lang w:val="en-GB"/>
              </w:rPr>
            </w:pPr>
            <w:r w:rsidRPr="006A21C0">
              <w:rPr>
                <w:rFonts w:ascii="Arial" w:eastAsia="Times New Roman" w:hAnsi="Arial" w:cs="Arial"/>
                <w:b/>
                <w:color w:val="323132"/>
                <w:sz w:val="20"/>
                <w:szCs w:val="20"/>
                <w:lang w:val="en-GB"/>
              </w:rPr>
              <w:lastRenderedPageBreak/>
              <w:t>Expert Activities:</w:t>
            </w:r>
          </w:p>
          <w:p w14:paraId="216BAF69" w14:textId="77777777" w:rsidR="006A21C0" w:rsidRPr="006A21C0" w:rsidRDefault="006A21C0" w:rsidP="006A21C0">
            <w:pPr>
              <w:spacing w:beforeLines="60" w:before="144" w:afterLines="60" w:after="144" w:line="240" w:lineRule="auto"/>
              <w:jc w:val="both"/>
              <w:rPr>
                <w:rFonts w:ascii="Arial" w:eastAsia="Times New Roman" w:hAnsi="Arial" w:cs="Arial"/>
                <w:color w:val="323132"/>
                <w:sz w:val="20"/>
                <w:szCs w:val="20"/>
                <w:lang w:val="en-GB"/>
              </w:rPr>
            </w:pPr>
            <w:r w:rsidRPr="006A21C0">
              <w:rPr>
                <w:rFonts w:ascii="Arial" w:eastAsia="Times New Roman" w:hAnsi="Arial" w:cs="Arial"/>
                <w:color w:val="323132"/>
                <w:sz w:val="20"/>
                <w:szCs w:val="20"/>
                <w:lang w:val="en-GB"/>
              </w:rPr>
              <w:t>The main activities and duties to be executed by the Expert are as follows:</w:t>
            </w:r>
          </w:p>
          <w:p w14:paraId="1F460EE3" w14:textId="77777777" w:rsidR="003030F2" w:rsidRPr="003030F2" w:rsidRDefault="003030F2" w:rsidP="003030F2">
            <w:pPr>
              <w:spacing w:beforeLines="60" w:before="144" w:afterLines="60" w:after="144" w:line="240" w:lineRule="auto"/>
              <w:jc w:val="both"/>
              <w:rPr>
                <w:rFonts w:ascii="Arial" w:eastAsia="Times New Roman" w:hAnsi="Arial" w:cs="Arial"/>
                <w:color w:val="323132"/>
                <w:sz w:val="20"/>
                <w:szCs w:val="20"/>
                <w:u w:val="single"/>
                <w:lang w:val="en-GB"/>
              </w:rPr>
            </w:pPr>
            <w:r w:rsidRPr="003030F2">
              <w:rPr>
                <w:rFonts w:ascii="Arial" w:eastAsia="Times New Roman" w:hAnsi="Arial" w:cs="Arial"/>
                <w:color w:val="323132"/>
                <w:sz w:val="20"/>
                <w:szCs w:val="20"/>
                <w:u w:val="single"/>
                <w:lang w:val="en-GB"/>
              </w:rPr>
              <w:t>Result 1: Priority Investment Projects in energy and environmental sectors prepared for implementation</w:t>
            </w:r>
          </w:p>
          <w:p w14:paraId="5DB5E039" w14:textId="77777777" w:rsidR="003030F2" w:rsidRPr="003030F2" w:rsidRDefault="003030F2" w:rsidP="003030F2">
            <w:pPr>
              <w:spacing w:beforeLines="60" w:before="144" w:afterLines="60" w:after="144" w:line="240" w:lineRule="auto"/>
              <w:jc w:val="both"/>
              <w:rPr>
                <w:rFonts w:ascii="Arial" w:eastAsia="Times New Roman" w:hAnsi="Arial" w:cs="Arial"/>
                <w:color w:val="323132"/>
                <w:sz w:val="20"/>
                <w:szCs w:val="20"/>
                <w:lang w:val="en-GB"/>
              </w:rPr>
            </w:pPr>
            <w:r w:rsidRPr="003030F2">
              <w:rPr>
                <w:rFonts w:ascii="Arial" w:eastAsia="Times New Roman" w:hAnsi="Arial" w:cs="Arial"/>
                <w:color w:val="323132"/>
                <w:sz w:val="20"/>
                <w:szCs w:val="20"/>
                <w:lang w:val="en-GB"/>
              </w:rPr>
              <w:t xml:space="preserve">Activity 1.1 Preparation of the sub-project Methodologies </w:t>
            </w:r>
          </w:p>
          <w:p w14:paraId="2567C8AB" w14:textId="77777777" w:rsidR="003030F2" w:rsidRPr="003030F2" w:rsidRDefault="003030F2" w:rsidP="003030F2">
            <w:pPr>
              <w:spacing w:beforeLines="60" w:before="144" w:afterLines="60" w:after="144" w:line="240" w:lineRule="auto"/>
              <w:jc w:val="both"/>
              <w:rPr>
                <w:rFonts w:ascii="Arial" w:eastAsia="Times New Roman" w:hAnsi="Arial" w:cs="Arial"/>
                <w:color w:val="323132"/>
                <w:sz w:val="20"/>
                <w:szCs w:val="20"/>
                <w:lang w:val="en-GB"/>
              </w:rPr>
            </w:pPr>
            <w:r w:rsidRPr="003030F2">
              <w:rPr>
                <w:rFonts w:ascii="Arial" w:eastAsia="Times New Roman" w:hAnsi="Arial" w:cs="Arial"/>
                <w:color w:val="323132"/>
                <w:sz w:val="20"/>
                <w:szCs w:val="20"/>
                <w:lang w:val="en-GB"/>
              </w:rPr>
              <w:t>Activity 1.2 Realization of the surveys/site investigations at the locations identified as optional for implementation of selected projects</w:t>
            </w:r>
          </w:p>
          <w:p w14:paraId="038715F8" w14:textId="05C4E140" w:rsidR="00754C88" w:rsidRPr="003030F2" w:rsidRDefault="003030F2" w:rsidP="00A96177">
            <w:pPr>
              <w:spacing w:beforeLines="60" w:before="144" w:afterLines="60" w:after="144" w:line="240" w:lineRule="auto"/>
              <w:jc w:val="both"/>
              <w:rPr>
                <w:rFonts w:ascii="Arial" w:eastAsia="Times New Roman" w:hAnsi="Arial" w:cs="Arial"/>
                <w:color w:val="323132"/>
                <w:sz w:val="20"/>
                <w:szCs w:val="20"/>
                <w:lang w:val="en-GB"/>
              </w:rPr>
            </w:pPr>
            <w:r w:rsidRPr="003030F2">
              <w:rPr>
                <w:rFonts w:ascii="Arial" w:eastAsia="Times New Roman" w:hAnsi="Arial" w:cs="Arial"/>
                <w:color w:val="323132"/>
                <w:sz w:val="20"/>
                <w:szCs w:val="20"/>
                <w:lang w:val="en-GB"/>
              </w:rPr>
              <w:t xml:space="preserve">Activity 1.3 Preparation of selected projects documentation including preliminary assessment work, pre-feasibility studies, feasibility studies, cost–benefit analyses, funding gap calculations, environment impact assessment studies, general project designs, the preliminary project designs, and the main project designs, as well as tender documentation when deemed justified </w:t>
            </w:r>
          </w:p>
        </w:tc>
      </w:tr>
      <w:tr w:rsidR="00643ADF" w:rsidRPr="00754C88" w14:paraId="37874CA2" w14:textId="77777777" w:rsidTr="00B04EBB">
        <w:tc>
          <w:tcPr>
            <w:tcW w:w="9356" w:type="dxa"/>
            <w:gridSpan w:val="2"/>
          </w:tcPr>
          <w:p w14:paraId="04F15397" w14:textId="77777777" w:rsidR="006E77EA" w:rsidRDefault="006E77EA" w:rsidP="001277B4">
            <w:pPr>
              <w:spacing w:after="120" w:line="240" w:lineRule="auto"/>
              <w:jc w:val="both"/>
              <w:rPr>
                <w:rFonts w:ascii="Arial" w:eastAsia="Times New Roman" w:hAnsi="Arial" w:cs="Arial"/>
                <w:b/>
                <w:color w:val="323132"/>
                <w:sz w:val="20"/>
                <w:szCs w:val="20"/>
                <w:lang w:val="en-GB"/>
              </w:rPr>
            </w:pPr>
          </w:p>
          <w:p w14:paraId="660A5361" w14:textId="5B090AD4" w:rsidR="00643ADF" w:rsidRDefault="00643ADF" w:rsidP="001277B4">
            <w:pPr>
              <w:spacing w:after="120" w:line="240" w:lineRule="auto"/>
              <w:jc w:val="both"/>
              <w:rPr>
                <w:rFonts w:ascii="Arial" w:eastAsia="Times New Roman" w:hAnsi="Arial" w:cs="Arial"/>
                <w:b/>
                <w:color w:val="323132"/>
                <w:sz w:val="20"/>
                <w:szCs w:val="20"/>
                <w:lang w:val="en-GB"/>
              </w:rPr>
            </w:pPr>
            <w:r w:rsidRPr="00C64B7E">
              <w:rPr>
                <w:rFonts w:ascii="Arial" w:eastAsia="Times New Roman" w:hAnsi="Arial" w:cs="Arial"/>
                <w:b/>
                <w:color w:val="323132"/>
                <w:sz w:val="20"/>
                <w:szCs w:val="20"/>
                <w:lang w:val="en-GB"/>
              </w:rPr>
              <w:t>Expert Outputs:</w:t>
            </w:r>
          </w:p>
          <w:p w14:paraId="7CD8E295" w14:textId="51D49630" w:rsidR="00B36758" w:rsidRPr="00B36758" w:rsidRDefault="00B36758" w:rsidP="00B36758">
            <w:pPr>
              <w:pStyle w:val="ListParagraph"/>
              <w:numPr>
                <w:ilvl w:val="0"/>
                <w:numId w:val="16"/>
              </w:numPr>
              <w:spacing w:after="0" w:line="360" w:lineRule="auto"/>
              <w:jc w:val="both"/>
              <w:rPr>
                <w:rFonts w:ascii="Arial" w:eastAsia="Times New Roman" w:hAnsi="Arial" w:cs="Arial"/>
                <w:color w:val="323132"/>
                <w:sz w:val="20"/>
                <w:szCs w:val="20"/>
                <w:lang w:val="en-GB"/>
              </w:rPr>
            </w:pPr>
            <w:r w:rsidRPr="00B36758">
              <w:rPr>
                <w:rFonts w:ascii="Arial" w:eastAsia="Times New Roman" w:hAnsi="Arial" w:cs="Arial"/>
                <w:color w:val="323132"/>
                <w:sz w:val="20"/>
                <w:szCs w:val="20"/>
                <w:lang w:val="en-GB"/>
              </w:rPr>
              <w:t>Methodologies for implementation of sub-project</w:t>
            </w:r>
          </w:p>
          <w:p w14:paraId="277973CE" w14:textId="6392A380" w:rsidR="00B36758" w:rsidRPr="00B36758" w:rsidRDefault="00B36758" w:rsidP="00B36758">
            <w:pPr>
              <w:pStyle w:val="ListParagraph"/>
              <w:numPr>
                <w:ilvl w:val="0"/>
                <w:numId w:val="16"/>
              </w:numPr>
              <w:spacing w:after="0" w:line="360" w:lineRule="auto"/>
              <w:jc w:val="both"/>
              <w:rPr>
                <w:rFonts w:ascii="Arial" w:eastAsia="Times New Roman" w:hAnsi="Arial" w:cs="Arial"/>
                <w:color w:val="323132"/>
                <w:sz w:val="20"/>
                <w:szCs w:val="20"/>
                <w:lang w:val="en-GB"/>
              </w:rPr>
            </w:pPr>
            <w:r w:rsidRPr="00B36758">
              <w:rPr>
                <w:rFonts w:ascii="Arial" w:eastAsia="Times New Roman" w:hAnsi="Arial" w:cs="Arial"/>
                <w:color w:val="323132"/>
                <w:sz w:val="20"/>
                <w:szCs w:val="20"/>
                <w:lang w:val="en-GB"/>
              </w:rPr>
              <w:t>Requests for quotation for site surveys and investigations</w:t>
            </w:r>
          </w:p>
          <w:p w14:paraId="795C5B1B" w14:textId="79E6A8FC" w:rsidR="00B36758" w:rsidRPr="00B36758" w:rsidRDefault="00B36758" w:rsidP="00B36758">
            <w:pPr>
              <w:pStyle w:val="ListParagraph"/>
              <w:numPr>
                <w:ilvl w:val="0"/>
                <w:numId w:val="16"/>
              </w:numPr>
              <w:spacing w:after="0" w:line="360" w:lineRule="auto"/>
              <w:jc w:val="both"/>
              <w:rPr>
                <w:rFonts w:ascii="Arial" w:eastAsia="Times New Roman" w:hAnsi="Arial" w:cs="Arial"/>
                <w:color w:val="323132"/>
                <w:sz w:val="20"/>
                <w:szCs w:val="20"/>
                <w:lang w:val="en-GB"/>
              </w:rPr>
            </w:pPr>
            <w:r w:rsidRPr="00B36758">
              <w:rPr>
                <w:rFonts w:ascii="Arial" w:eastAsia="Times New Roman" w:hAnsi="Arial" w:cs="Arial"/>
                <w:color w:val="323132"/>
                <w:sz w:val="20"/>
                <w:szCs w:val="20"/>
                <w:lang w:val="en-GB"/>
              </w:rPr>
              <w:t>Data collection reports</w:t>
            </w:r>
          </w:p>
          <w:p w14:paraId="5690AA36" w14:textId="20EDD63E" w:rsidR="00B36758" w:rsidRPr="00B36758" w:rsidRDefault="00B36758" w:rsidP="00B36758">
            <w:pPr>
              <w:pStyle w:val="ListParagraph"/>
              <w:numPr>
                <w:ilvl w:val="0"/>
                <w:numId w:val="16"/>
              </w:numPr>
              <w:spacing w:after="0" w:line="360" w:lineRule="auto"/>
              <w:jc w:val="both"/>
              <w:rPr>
                <w:rFonts w:ascii="Arial" w:eastAsia="Times New Roman" w:hAnsi="Arial" w:cs="Arial"/>
                <w:color w:val="323132"/>
                <w:sz w:val="20"/>
                <w:szCs w:val="20"/>
                <w:lang w:val="en-GB"/>
              </w:rPr>
            </w:pPr>
            <w:r w:rsidRPr="00B36758">
              <w:rPr>
                <w:rFonts w:ascii="Arial" w:eastAsia="Times New Roman" w:hAnsi="Arial" w:cs="Arial"/>
                <w:color w:val="323132"/>
                <w:sz w:val="20"/>
                <w:szCs w:val="20"/>
                <w:lang w:val="en-GB"/>
              </w:rPr>
              <w:t>Preparation of technical documentation (Design/Tender documentation)</w:t>
            </w:r>
          </w:p>
          <w:p w14:paraId="66BB3904" w14:textId="2FEEF5F9" w:rsidR="006D1078" w:rsidRPr="00B36758" w:rsidRDefault="00B36758" w:rsidP="00B36758">
            <w:pPr>
              <w:pStyle w:val="ListParagraph"/>
              <w:numPr>
                <w:ilvl w:val="0"/>
                <w:numId w:val="16"/>
              </w:numPr>
              <w:spacing w:after="0" w:line="360" w:lineRule="auto"/>
              <w:jc w:val="both"/>
              <w:rPr>
                <w:rFonts w:ascii="Arial" w:eastAsia="Times New Roman" w:hAnsi="Arial" w:cs="Arial"/>
                <w:color w:val="323132"/>
                <w:sz w:val="20"/>
                <w:szCs w:val="20"/>
                <w:lang w:val="en-GB"/>
              </w:rPr>
            </w:pPr>
            <w:r w:rsidRPr="00B36758">
              <w:rPr>
                <w:rFonts w:ascii="Arial" w:eastAsia="Times New Roman" w:hAnsi="Arial" w:cs="Arial"/>
                <w:color w:val="323132"/>
                <w:sz w:val="20"/>
                <w:szCs w:val="20"/>
                <w:lang w:val="en-GB"/>
              </w:rPr>
              <w:t xml:space="preserve">Preparation of stand-alone reports in addition to their contributions to other documents (see </w:t>
            </w:r>
            <w:proofErr w:type="spellStart"/>
            <w:r w:rsidRPr="00B36758">
              <w:rPr>
                <w:rFonts w:ascii="Arial" w:eastAsia="Times New Roman" w:hAnsi="Arial" w:cs="Arial"/>
                <w:color w:val="323132"/>
                <w:sz w:val="20"/>
                <w:szCs w:val="20"/>
                <w:lang w:val="en-GB"/>
              </w:rPr>
              <w:t>ToR</w:t>
            </w:r>
            <w:proofErr w:type="spellEnd"/>
            <w:r w:rsidRPr="00B36758">
              <w:rPr>
                <w:rFonts w:ascii="Arial" w:eastAsia="Times New Roman" w:hAnsi="Arial" w:cs="Arial"/>
                <w:color w:val="323132"/>
                <w:sz w:val="20"/>
                <w:szCs w:val="20"/>
                <w:lang w:val="en-GB"/>
              </w:rPr>
              <w:t>, p.22);</w:t>
            </w:r>
          </w:p>
        </w:tc>
      </w:tr>
      <w:tr w:rsidR="00643ADF" w:rsidRPr="00754C88" w14:paraId="711843AB" w14:textId="77777777" w:rsidTr="00B04EBB">
        <w:tc>
          <w:tcPr>
            <w:tcW w:w="9356" w:type="dxa"/>
            <w:gridSpan w:val="2"/>
          </w:tcPr>
          <w:p w14:paraId="13AFD1D1" w14:textId="3D1CDC35" w:rsidR="00643ADF" w:rsidRPr="00C64B7E" w:rsidRDefault="004267F9" w:rsidP="00643ADF">
            <w:pPr>
              <w:spacing w:beforeLines="60" w:before="144" w:afterLines="60" w:after="144" w:line="240" w:lineRule="auto"/>
              <w:jc w:val="both"/>
              <w:rPr>
                <w:rFonts w:ascii="Arial" w:eastAsia="Times New Roman" w:hAnsi="Arial" w:cs="Arial"/>
                <w:b/>
                <w:color w:val="323132"/>
                <w:sz w:val="20"/>
                <w:szCs w:val="20"/>
                <w:lang w:val="en-GB"/>
              </w:rPr>
            </w:pPr>
            <w:r w:rsidRPr="00C64B7E">
              <w:rPr>
                <w:rFonts w:ascii="Arial" w:eastAsia="Times New Roman" w:hAnsi="Arial" w:cs="Arial"/>
                <w:b/>
                <w:color w:val="323132"/>
                <w:sz w:val="20"/>
                <w:szCs w:val="20"/>
                <w:lang w:val="en-GB"/>
              </w:rPr>
              <w:t>Expert Schedule:</w:t>
            </w:r>
          </w:p>
          <w:p w14:paraId="5E43FB9B" w14:textId="31026404" w:rsidR="004267F9" w:rsidRPr="00754C88" w:rsidRDefault="004267F9" w:rsidP="00C64B7E">
            <w:pPr>
              <w:spacing w:beforeLines="60" w:before="144" w:afterLines="60" w:after="144" w:line="240" w:lineRule="auto"/>
              <w:jc w:val="both"/>
              <w:rPr>
                <w:rFonts w:ascii="Arial" w:eastAsia="Times New Roman" w:hAnsi="Arial" w:cs="Arial"/>
                <w:b/>
                <w:color w:val="323132"/>
                <w:sz w:val="20"/>
                <w:szCs w:val="20"/>
                <w:lang w:val="en-GB"/>
              </w:rPr>
            </w:pPr>
            <w:r w:rsidRPr="00754C88">
              <w:rPr>
                <w:rFonts w:ascii="Arial" w:eastAsia="Times New Roman" w:hAnsi="Arial" w:cs="Arial"/>
                <w:color w:val="323132"/>
                <w:sz w:val="20"/>
                <w:szCs w:val="20"/>
                <w:lang w:val="en-GB"/>
              </w:rPr>
              <w:t>The indicative schedule of inputs will be discussed and agreed with the project Key Experts. The schedule of inputs may be adapted during the project implementation depending on beneficiary requirements and expert’s performance.</w:t>
            </w:r>
          </w:p>
        </w:tc>
      </w:tr>
      <w:tr w:rsidR="00643ADF" w:rsidRPr="00754C88" w14:paraId="794049E7" w14:textId="77777777" w:rsidTr="00B04EBB">
        <w:tc>
          <w:tcPr>
            <w:tcW w:w="9356" w:type="dxa"/>
            <w:gridSpan w:val="2"/>
          </w:tcPr>
          <w:p w14:paraId="7427DE58" w14:textId="437093A2" w:rsidR="004267F9" w:rsidRPr="00C64B7E" w:rsidRDefault="004267F9" w:rsidP="00643ADF">
            <w:pPr>
              <w:spacing w:beforeLines="60" w:before="144" w:afterLines="60" w:after="144" w:line="240" w:lineRule="auto"/>
              <w:jc w:val="both"/>
              <w:rPr>
                <w:rFonts w:ascii="Arial" w:eastAsia="Times New Roman" w:hAnsi="Arial" w:cs="Arial"/>
                <w:b/>
                <w:color w:val="323132"/>
                <w:sz w:val="20"/>
                <w:szCs w:val="20"/>
                <w:lang w:val="en-GB"/>
              </w:rPr>
            </w:pPr>
            <w:r w:rsidRPr="00C64B7E">
              <w:rPr>
                <w:rFonts w:ascii="Arial" w:eastAsia="Times New Roman" w:hAnsi="Arial" w:cs="Arial"/>
                <w:b/>
                <w:color w:val="323132"/>
                <w:sz w:val="20"/>
                <w:szCs w:val="20"/>
                <w:lang w:val="en-GB"/>
              </w:rPr>
              <w:t>Reporting:</w:t>
            </w:r>
          </w:p>
          <w:p w14:paraId="121636C8" w14:textId="4E0D6D53" w:rsidR="00643ADF" w:rsidRPr="00754C88" w:rsidRDefault="004267F9" w:rsidP="00643ADF">
            <w:pPr>
              <w:spacing w:beforeLines="60" w:before="144" w:afterLines="60" w:after="144" w:line="240" w:lineRule="auto"/>
              <w:jc w:val="both"/>
              <w:rPr>
                <w:rFonts w:ascii="Arial" w:eastAsia="Times New Roman" w:hAnsi="Arial" w:cs="Arial"/>
                <w:b/>
                <w:color w:val="323132"/>
                <w:sz w:val="20"/>
                <w:szCs w:val="20"/>
                <w:lang w:val="en-GB"/>
              </w:rPr>
            </w:pPr>
            <w:r w:rsidRPr="00754C88">
              <w:rPr>
                <w:rFonts w:ascii="Arial" w:eastAsia="Times New Roman" w:hAnsi="Arial" w:cs="Arial"/>
                <w:color w:val="323132"/>
                <w:sz w:val="20"/>
                <w:szCs w:val="20"/>
                <w:lang w:val="en-GB"/>
              </w:rPr>
              <w:t>The experts will report primarily to the Deputy Team Leader and Team Leader. In no circumstances, the expert shall make any commitment to the Client, or other interested parties, that will have an impact on contract implementation or project budget. Should such a situation arise, the expert should immediately contact the Team Leader for guidance.</w:t>
            </w:r>
          </w:p>
        </w:tc>
      </w:tr>
      <w:tr w:rsidR="00F16094" w:rsidRPr="00754C88" w14:paraId="513C4063" w14:textId="77777777" w:rsidTr="00B04EBB">
        <w:tc>
          <w:tcPr>
            <w:tcW w:w="9356" w:type="dxa"/>
            <w:gridSpan w:val="2"/>
          </w:tcPr>
          <w:p w14:paraId="28DBB03E" w14:textId="7C803D44" w:rsidR="00F16094" w:rsidRPr="00C64B7E" w:rsidRDefault="00F16094" w:rsidP="00F16094">
            <w:pPr>
              <w:spacing w:beforeLines="60" w:before="144" w:afterLines="60" w:after="144" w:line="240" w:lineRule="auto"/>
              <w:jc w:val="both"/>
              <w:rPr>
                <w:rFonts w:ascii="Arial" w:eastAsia="Times New Roman" w:hAnsi="Arial" w:cs="Arial"/>
                <w:b/>
                <w:color w:val="323132"/>
                <w:sz w:val="20"/>
                <w:szCs w:val="20"/>
                <w:lang w:val="en-GB"/>
              </w:rPr>
            </w:pPr>
            <w:r w:rsidRPr="00C64B7E">
              <w:rPr>
                <w:rFonts w:ascii="Arial" w:eastAsia="Times New Roman" w:hAnsi="Arial" w:cs="Arial"/>
                <w:b/>
                <w:color w:val="323132"/>
                <w:sz w:val="20"/>
                <w:szCs w:val="20"/>
                <w:lang w:val="en-GB"/>
              </w:rPr>
              <w:lastRenderedPageBreak/>
              <w:t>Expert Profile:</w:t>
            </w:r>
          </w:p>
          <w:p w14:paraId="4904C3F5" w14:textId="77777777" w:rsidR="00F16094" w:rsidRPr="00754C88" w:rsidRDefault="00F16094" w:rsidP="00F16094">
            <w:pPr>
              <w:spacing w:beforeLines="60" w:before="144" w:afterLines="60" w:after="144" w:line="240" w:lineRule="auto"/>
              <w:jc w:val="both"/>
              <w:rPr>
                <w:rFonts w:ascii="Arial" w:eastAsia="Times New Roman" w:hAnsi="Arial" w:cs="Arial"/>
                <w:color w:val="323132"/>
                <w:sz w:val="20"/>
                <w:szCs w:val="20"/>
                <w:lang w:val="en-GB"/>
              </w:rPr>
            </w:pPr>
            <w:r w:rsidRPr="00754C88">
              <w:rPr>
                <w:rFonts w:ascii="Arial" w:eastAsia="Times New Roman" w:hAnsi="Arial" w:cs="Arial"/>
                <w:color w:val="323132"/>
                <w:sz w:val="20"/>
                <w:szCs w:val="20"/>
                <w:lang w:val="en-GB"/>
              </w:rPr>
              <w:t>Qualifications and skills: (25 points)</w:t>
            </w:r>
          </w:p>
          <w:p w14:paraId="63623F3E" w14:textId="52BB0F30" w:rsidR="003030F2" w:rsidRPr="003030F2" w:rsidRDefault="003030F2" w:rsidP="003030F2">
            <w:pPr>
              <w:pStyle w:val="ListParagraph"/>
              <w:numPr>
                <w:ilvl w:val="0"/>
                <w:numId w:val="19"/>
              </w:numPr>
              <w:spacing w:after="0" w:line="360" w:lineRule="auto"/>
              <w:jc w:val="both"/>
              <w:rPr>
                <w:rFonts w:ascii="Arial" w:eastAsia="Times New Roman" w:hAnsi="Arial" w:cs="Arial"/>
                <w:color w:val="323132"/>
                <w:sz w:val="20"/>
                <w:szCs w:val="20"/>
                <w:lang w:val="en-GB"/>
              </w:rPr>
            </w:pPr>
            <w:r w:rsidRPr="003030F2">
              <w:rPr>
                <w:rFonts w:ascii="Arial" w:eastAsia="Times New Roman" w:hAnsi="Arial" w:cs="Arial"/>
                <w:color w:val="323132"/>
                <w:sz w:val="20"/>
                <w:szCs w:val="20"/>
                <w:lang w:val="en-GB"/>
              </w:rPr>
              <w:t xml:space="preserve">University degree in </w:t>
            </w:r>
            <w:r w:rsidR="00B36758" w:rsidRPr="00B36758">
              <w:rPr>
                <w:rFonts w:ascii="Arial" w:eastAsia="Times New Roman" w:hAnsi="Arial" w:cs="Arial"/>
                <w:color w:val="323132"/>
                <w:sz w:val="20"/>
                <w:szCs w:val="20"/>
                <w:lang w:val="en-GB"/>
              </w:rPr>
              <w:t>Civil Engineering (Hydraulic and Environmental Engineering)</w:t>
            </w:r>
          </w:p>
          <w:p w14:paraId="4B211D8A" w14:textId="77777777" w:rsidR="003030F2" w:rsidRPr="003030F2" w:rsidRDefault="003030F2" w:rsidP="003030F2">
            <w:pPr>
              <w:pStyle w:val="ListParagraph"/>
              <w:numPr>
                <w:ilvl w:val="0"/>
                <w:numId w:val="19"/>
              </w:numPr>
              <w:spacing w:after="0" w:line="360" w:lineRule="auto"/>
              <w:jc w:val="both"/>
              <w:rPr>
                <w:rFonts w:ascii="Arial" w:eastAsia="Times New Roman" w:hAnsi="Arial" w:cs="Arial"/>
                <w:color w:val="323132"/>
                <w:sz w:val="20"/>
                <w:szCs w:val="20"/>
                <w:lang w:val="en-GB"/>
              </w:rPr>
            </w:pPr>
            <w:r w:rsidRPr="003030F2">
              <w:rPr>
                <w:rFonts w:ascii="Arial" w:eastAsia="Times New Roman" w:hAnsi="Arial" w:cs="Arial"/>
                <w:color w:val="323132"/>
                <w:sz w:val="20"/>
                <w:szCs w:val="20"/>
                <w:lang w:val="en-GB"/>
              </w:rPr>
              <w:t xml:space="preserve">Professional level of English, both spoken and written </w:t>
            </w:r>
          </w:p>
          <w:p w14:paraId="5077262D" w14:textId="77777777" w:rsidR="003030F2" w:rsidRPr="003030F2" w:rsidRDefault="003030F2" w:rsidP="003030F2">
            <w:pPr>
              <w:pStyle w:val="ListParagraph"/>
              <w:numPr>
                <w:ilvl w:val="0"/>
                <w:numId w:val="19"/>
              </w:numPr>
              <w:spacing w:after="0" w:line="360" w:lineRule="auto"/>
              <w:jc w:val="both"/>
              <w:rPr>
                <w:rFonts w:ascii="Arial" w:eastAsia="Times New Roman" w:hAnsi="Arial" w:cs="Arial"/>
                <w:color w:val="323132"/>
                <w:sz w:val="20"/>
                <w:szCs w:val="20"/>
                <w:lang w:val="en-GB"/>
              </w:rPr>
            </w:pPr>
            <w:r w:rsidRPr="003030F2">
              <w:rPr>
                <w:rFonts w:ascii="Arial" w:eastAsia="Times New Roman" w:hAnsi="Arial" w:cs="Arial"/>
                <w:color w:val="323132"/>
                <w:sz w:val="20"/>
                <w:szCs w:val="20"/>
                <w:lang w:val="en-GB"/>
              </w:rPr>
              <w:t>Computer literacy (Auto-CAD design and MS Office applications).</w:t>
            </w:r>
          </w:p>
          <w:p w14:paraId="4640C0BA" w14:textId="5707424F" w:rsidR="00F16094" w:rsidRPr="00754C88" w:rsidRDefault="00F16094" w:rsidP="00F16094">
            <w:pPr>
              <w:spacing w:beforeLines="60" w:before="144" w:afterLines="60" w:after="144" w:line="240" w:lineRule="auto"/>
              <w:jc w:val="both"/>
              <w:rPr>
                <w:rFonts w:ascii="Arial" w:eastAsia="Times New Roman" w:hAnsi="Arial" w:cs="Arial"/>
                <w:color w:val="323132"/>
                <w:sz w:val="20"/>
                <w:szCs w:val="20"/>
                <w:lang w:val="en-GB"/>
              </w:rPr>
            </w:pPr>
            <w:r w:rsidRPr="00754C88">
              <w:rPr>
                <w:rFonts w:ascii="Arial" w:eastAsia="Times New Roman" w:hAnsi="Arial" w:cs="Arial"/>
                <w:color w:val="323132"/>
                <w:sz w:val="20"/>
                <w:szCs w:val="20"/>
                <w:lang w:val="en-GB"/>
              </w:rPr>
              <w:t>General professional experience: (25 points)</w:t>
            </w:r>
          </w:p>
          <w:p w14:paraId="3D2E69AD" w14:textId="5F40C464" w:rsidR="00F16094" w:rsidRPr="00893661" w:rsidRDefault="00F16094" w:rsidP="00893661">
            <w:pPr>
              <w:pStyle w:val="ListParagraph"/>
              <w:numPr>
                <w:ilvl w:val="0"/>
                <w:numId w:val="20"/>
              </w:numPr>
              <w:spacing w:after="0" w:line="360" w:lineRule="auto"/>
              <w:jc w:val="both"/>
              <w:rPr>
                <w:rFonts w:ascii="Arial" w:eastAsia="Times New Roman" w:hAnsi="Arial" w:cs="Arial"/>
                <w:color w:val="323132"/>
                <w:sz w:val="20"/>
                <w:szCs w:val="20"/>
                <w:lang w:val="en-GB"/>
              </w:rPr>
            </w:pPr>
            <w:r w:rsidRPr="00893661">
              <w:rPr>
                <w:rFonts w:ascii="Arial" w:eastAsia="Times New Roman" w:hAnsi="Arial" w:cs="Arial"/>
                <w:color w:val="323132"/>
                <w:sz w:val="20"/>
                <w:szCs w:val="20"/>
                <w:lang w:val="en-GB"/>
              </w:rPr>
              <w:t>Minimum 10 years of general working experience</w:t>
            </w:r>
          </w:p>
          <w:p w14:paraId="3898DDFA" w14:textId="77777777" w:rsidR="00F16094" w:rsidRPr="00893661" w:rsidRDefault="00F16094" w:rsidP="00893661">
            <w:pPr>
              <w:pStyle w:val="ListParagraph"/>
              <w:numPr>
                <w:ilvl w:val="0"/>
                <w:numId w:val="20"/>
              </w:numPr>
              <w:spacing w:after="0" w:line="360" w:lineRule="auto"/>
              <w:jc w:val="both"/>
              <w:rPr>
                <w:rFonts w:ascii="Arial" w:eastAsia="Times New Roman" w:hAnsi="Arial" w:cs="Arial"/>
                <w:color w:val="323132"/>
                <w:sz w:val="20"/>
                <w:szCs w:val="20"/>
                <w:lang w:val="en-GB"/>
              </w:rPr>
            </w:pPr>
            <w:r w:rsidRPr="00893661">
              <w:rPr>
                <w:rFonts w:ascii="Arial" w:eastAsia="Times New Roman" w:hAnsi="Arial" w:cs="Arial"/>
                <w:color w:val="323132"/>
                <w:sz w:val="20"/>
                <w:szCs w:val="20"/>
                <w:lang w:val="en-GB"/>
              </w:rPr>
              <w:t>Minimum 7 years of specific experience in the field of which the expert is mobilized.</w:t>
            </w:r>
          </w:p>
          <w:p w14:paraId="5B888846" w14:textId="77777777" w:rsidR="00F16094" w:rsidRPr="00754C88" w:rsidRDefault="00F16094" w:rsidP="00F16094">
            <w:pPr>
              <w:spacing w:beforeLines="60" w:before="144" w:afterLines="60" w:after="144" w:line="240" w:lineRule="auto"/>
              <w:jc w:val="both"/>
              <w:rPr>
                <w:rFonts w:ascii="Arial" w:eastAsia="Times New Roman" w:hAnsi="Arial" w:cs="Arial"/>
                <w:color w:val="323132"/>
                <w:sz w:val="20"/>
                <w:szCs w:val="20"/>
                <w:lang w:val="en-GB"/>
              </w:rPr>
            </w:pPr>
            <w:r w:rsidRPr="00754C88">
              <w:rPr>
                <w:rFonts w:ascii="Arial" w:eastAsia="Times New Roman" w:hAnsi="Arial" w:cs="Arial"/>
                <w:color w:val="323132"/>
                <w:sz w:val="20"/>
                <w:szCs w:val="20"/>
                <w:lang w:val="en-GB"/>
              </w:rPr>
              <w:t>Specific professional experience: (50 points)</w:t>
            </w:r>
          </w:p>
          <w:p w14:paraId="08B5F55E" w14:textId="56300406" w:rsidR="003030F2" w:rsidRPr="003030F2" w:rsidRDefault="000817DD" w:rsidP="003030F2">
            <w:pPr>
              <w:pStyle w:val="ListParagraph"/>
              <w:numPr>
                <w:ilvl w:val="0"/>
                <w:numId w:val="21"/>
              </w:numPr>
              <w:spacing w:after="0" w:line="360" w:lineRule="auto"/>
              <w:jc w:val="both"/>
              <w:rPr>
                <w:rFonts w:ascii="Arial" w:eastAsia="Times New Roman" w:hAnsi="Arial" w:cs="Arial"/>
                <w:color w:val="323132"/>
                <w:sz w:val="20"/>
                <w:szCs w:val="20"/>
                <w:lang w:val="en-GB"/>
              </w:rPr>
            </w:pPr>
            <w:r w:rsidRPr="000817DD">
              <w:rPr>
                <w:rFonts w:ascii="Arial" w:eastAsia="Times New Roman" w:hAnsi="Arial" w:cs="Arial"/>
                <w:color w:val="323132"/>
                <w:sz w:val="20"/>
                <w:szCs w:val="20"/>
                <w:lang w:val="en-GB"/>
              </w:rPr>
              <w:t xml:space="preserve">Experience in Project planning, Design documentation development and assessment with specific references to Civil engineering component of infrastructural </w:t>
            </w:r>
            <w:r w:rsidR="00F85471">
              <w:rPr>
                <w:rFonts w:ascii="Arial" w:eastAsia="Times New Roman" w:hAnsi="Arial" w:cs="Arial"/>
                <w:color w:val="323132"/>
                <w:sz w:val="20"/>
                <w:szCs w:val="20"/>
                <w:lang w:val="en-GB"/>
              </w:rPr>
              <w:t>p</w:t>
            </w:r>
            <w:r w:rsidRPr="000817DD">
              <w:rPr>
                <w:rFonts w:ascii="Arial" w:eastAsia="Times New Roman" w:hAnsi="Arial" w:cs="Arial"/>
                <w:color w:val="323132"/>
                <w:sz w:val="20"/>
                <w:szCs w:val="20"/>
                <w:lang w:val="en-GB"/>
              </w:rPr>
              <w:t>rojects</w:t>
            </w:r>
          </w:p>
          <w:p w14:paraId="4792BE30" w14:textId="0B174688" w:rsidR="003030F2" w:rsidRPr="003030F2" w:rsidRDefault="003030F2" w:rsidP="003030F2">
            <w:pPr>
              <w:pStyle w:val="ListParagraph"/>
              <w:numPr>
                <w:ilvl w:val="0"/>
                <w:numId w:val="21"/>
              </w:numPr>
              <w:spacing w:after="0" w:line="360" w:lineRule="auto"/>
              <w:jc w:val="both"/>
              <w:rPr>
                <w:rFonts w:ascii="Arial" w:eastAsia="Times New Roman" w:hAnsi="Arial" w:cs="Arial"/>
                <w:color w:val="323132"/>
                <w:sz w:val="20"/>
                <w:szCs w:val="20"/>
                <w:lang w:val="en-GB"/>
              </w:rPr>
            </w:pPr>
            <w:r w:rsidRPr="003030F2">
              <w:rPr>
                <w:rFonts w:ascii="Arial" w:eastAsia="Times New Roman" w:hAnsi="Arial" w:cs="Arial"/>
                <w:color w:val="323132"/>
                <w:sz w:val="20"/>
                <w:szCs w:val="20"/>
                <w:lang w:val="en-GB"/>
              </w:rPr>
              <w:t>Previous experience in PPF projects is an asset</w:t>
            </w:r>
          </w:p>
          <w:p w14:paraId="4D625AA5" w14:textId="63970343" w:rsidR="00F16094" w:rsidRPr="00893661" w:rsidRDefault="003030F2" w:rsidP="003030F2">
            <w:pPr>
              <w:pStyle w:val="ListParagraph"/>
              <w:numPr>
                <w:ilvl w:val="0"/>
                <w:numId w:val="21"/>
              </w:numPr>
              <w:spacing w:after="0" w:line="360" w:lineRule="auto"/>
              <w:jc w:val="both"/>
              <w:rPr>
                <w:rFonts w:ascii="Arial" w:eastAsia="Times New Roman" w:hAnsi="Arial" w:cs="Arial"/>
                <w:b/>
                <w:color w:val="323132"/>
                <w:sz w:val="20"/>
                <w:szCs w:val="20"/>
                <w:lang w:val="en-GB"/>
              </w:rPr>
            </w:pPr>
            <w:r w:rsidRPr="003030F2">
              <w:rPr>
                <w:rFonts w:ascii="Arial" w:eastAsia="Times New Roman" w:hAnsi="Arial" w:cs="Arial"/>
                <w:color w:val="323132"/>
                <w:sz w:val="20"/>
                <w:szCs w:val="20"/>
                <w:lang w:val="en-GB"/>
              </w:rPr>
              <w:t>Knowledge of Serbian language is an asset</w:t>
            </w:r>
          </w:p>
        </w:tc>
      </w:tr>
      <w:tr w:rsidR="00BD78F1" w:rsidRPr="00754C88" w14:paraId="50B75C77" w14:textId="77777777" w:rsidTr="00B04EBB">
        <w:tc>
          <w:tcPr>
            <w:tcW w:w="9356" w:type="dxa"/>
            <w:gridSpan w:val="2"/>
          </w:tcPr>
          <w:p w14:paraId="670E867C" w14:textId="77777777" w:rsidR="003D3F88" w:rsidRDefault="003D3F88" w:rsidP="00BD78F1">
            <w:pPr>
              <w:spacing w:beforeLines="60" w:before="144" w:afterLines="60" w:after="144" w:line="240" w:lineRule="auto"/>
              <w:jc w:val="both"/>
              <w:rPr>
                <w:rFonts w:ascii="Arial" w:eastAsia="Times New Roman" w:hAnsi="Arial" w:cs="Arial"/>
                <w:b/>
                <w:color w:val="323132"/>
                <w:sz w:val="20"/>
                <w:szCs w:val="20"/>
                <w:lang w:val="en-GB"/>
              </w:rPr>
            </w:pPr>
          </w:p>
          <w:p w14:paraId="72E103F3" w14:textId="629E1EC0" w:rsidR="00BD78F1" w:rsidRPr="00C64B7E" w:rsidRDefault="00300C41" w:rsidP="00BD78F1">
            <w:pPr>
              <w:spacing w:beforeLines="60" w:before="144" w:afterLines="60" w:after="144" w:line="240" w:lineRule="auto"/>
              <w:jc w:val="both"/>
              <w:rPr>
                <w:rFonts w:ascii="Arial" w:eastAsia="Times New Roman" w:hAnsi="Arial" w:cs="Arial"/>
                <w:b/>
                <w:color w:val="323132"/>
                <w:sz w:val="20"/>
                <w:szCs w:val="20"/>
                <w:lang w:val="en-GB"/>
              </w:rPr>
            </w:pPr>
            <w:r w:rsidRPr="00C64B7E">
              <w:rPr>
                <w:rFonts w:ascii="Arial" w:eastAsia="Times New Roman" w:hAnsi="Arial" w:cs="Arial"/>
                <w:b/>
                <w:color w:val="323132"/>
                <w:sz w:val="20"/>
                <w:szCs w:val="20"/>
                <w:lang w:val="en-GB"/>
              </w:rPr>
              <w:t xml:space="preserve">Applications: </w:t>
            </w:r>
          </w:p>
          <w:p w14:paraId="166E0AB3" w14:textId="4CA62BE4" w:rsidR="00BD78F1" w:rsidRPr="00BD78F1" w:rsidRDefault="00300C41" w:rsidP="00BD78F1">
            <w:pPr>
              <w:spacing w:beforeLines="60" w:before="144" w:afterLines="60" w:after="144" w:line="24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CV in EU format</w:t>
            </w:r>
            <w:r w:rsidR="00BD78F1" w:rsidRPr="00BD78F1">
              <w:rPr>
                <w:rFonts w:ascii="Arial" w:eastAsia="Times New Roman" w:hAnsi="Arial" w:cs="Arial"/>
                <w:color w:val="323132"/>
                <w:sz w:val="20"/>
                <w:szCs w:val="20"/>
                <w:lang w:val="en-GB"/>
              </w:rPr>
              <w:t xml:space="preserve"> in English need</w:t>
            </w:r>
            <w:r>
              <w:rPr>
                <w:rFonts w:ascii="Arial" w:eastAsia="Times New Roman" w:hAnsi="Arial" w:cs="Arial"/>
                <w:color w:val="323132"/>
                <w:sz w:val="20"/>
                <w:szCs w:val="20"/>
                <w:lang w:val="en-GB"/>
              </w:rPr>
              <w:t>s</w:t>
            </w:r>
            <w:r w:rsidR="00BD78F1" w:rsidRPr="00BD78F1">
              <w:rPr>
                <w:rFonts w:ascii="Arial" w:eastAsia="Times New Roman" w:hAnsi="Arial" w:cs="Arial"/>
                <w:color w:val="323132"/>
                <w:sz w:val="20"/>
                <w:szCs w:val="20"/>
                <w:lang w:val="en-GB"/>
              </w:rPr>
              <w:t xml:space="preserve"> to be submitted by e-mail </w:t>
            </w:r>
            <w:r w:rsidR="00BD78F1" w:rsidRPr="000B628F">
              <w:rPr>
                <w:rFonts w:ascii="Arial" w:eastAsia="Times New Roman" w:hAnsi="Arial" w:cs="Arial"/>
                <w:color w:val="323132"/>
                <w:sz w:val="20"/>
                <w:szCs w:val="20"/>
                <w:lang w:val="en-GB"/>
              </w:rPr>
              <w:t>to</w:t>
            </w:r>
            <w:r w:rsidRPr="000B628F">
              <w:rPr>
                <w:rFonts w:ascii="Arial" w:eastAsia="Times New Roman" w:hAnsi="Arial" w:cs="Arial"/>
                <w:color w:val="323132"/>
                <w:sz w:val="20"/>
                <w:szCs w:val="20"/>
                <w:lang w:val="en-GB"/>
              </w:rPr>
              <w:t xml:space="preserve"> </w:t>
            </w:r>
            <w:hyperlink r:id="rId8" w:history="1">
              <w:r w:rsidR="000F21B6" w:rsidRPr="00AE7389">
                <w:rPr>
                  <w:rStyle w:val="Hyperlink"/>
                  <w:rFonts w:ascii="Arial" w:hAnsi="Arial" w:cs="Arial"/>
                  <w:sz w:val="20"/>
                  <w:szCs w:val="20"/>
                </w:rPr>
                <w:t>iljcho.jovanoski</w:t>
              </w:r>
              <w:r w:rsidR="000F21B6" w:rsidRPr="00AE7389">
                <w:rPr>
                  <w:rStyle w:val="Hyperlink"/>
                  <w:rFonts w:ascii="Arial" w:eastAsia="Times New Roman" w:hAnsi="Arial" w:cs="Arial"/>
                  <w:sz w:val="20"/>
                  <w:szCs w:val="20"/>
                  <w:lang w:val="en-GB"/>
                </w:rPr>
                <w:t>@wsp.com</w:t>
              </w:r>
            </w:hyperlink>
            <w:r w:rsidR="00C64B7E">
              <w:rPr>
                <w:rFonts w:ascii="Arial" w:eastAsia="Times New Roman" w:hAnsi="Arial" w:cs="Arial"/>
                <w:color w:val="323132"/>
                <w:sz w:val="20"/>
                <w:szCs w:val="20"/>
                <w:lang w:val="en-GB"/>
              </w:rPr>
              <w:t xml:space="preserve"> </w:t>
            </w:r>
            <w:r w:rsidR="00BD78F1" w:rsidRPr="00BD78F1">
              <w:rPr>
                <w:rFonts w:ascii="Arial" w:eastAsia="Times New Roman" w:hAnsi="Arial" w:cs="Arial"/>
                <w:color w:val="323132"/>
                <w:sz w:val="20"/>
                <w:szCs w:val="20"/>
                <w:lang w:val="en-GB"/>
              </w:rPr>
              <w:t>and</w:t>
            </w:r>
            <w:r>
              <w:rPr>
                <w:rFonts w:ascii="Arial" w:eastAsia="Times New Roman" w:hAnsi="Arial" w:cs="Arial"/>
                <w:color w:val="323132"/>
                <w:sz w:val="20"/>
                <w:szCs w:val="20"/>
                <w:lang w:val="en-GB"/>
              </w:rPr>
              <w:t xml:space="preserve"> </w:t>
            </w:r>
            <w:hyperlink r:id="rId9" w:history="1">
              <w:r w:rsidR="000F21B6" w:rsidRPr="00AE7389">
                <w:rPr>
                  <w:rStyle w:val="Hyperlink"/>
                  <w:rFonts w:ascii="Arial" w:eastAsia="Times New Roman" w:hAnsi="Arial" w:cs="Arial"/>
                  <w:sz w:val="20"/>
                  <w:szCs w:val="20"/>
                  <w:lang w:val="en-GB"/>
                </w:rPr>
                <w:t>ivan.rankovic2@wsp.com</w:t>
              </w:r>
            </w:hyperlink>
            <w:r w:rsidR="00C64B7E">
              <w:rPr>
                <w:rFonts w:ascii="Arial" w:eastAsia="Times New Roman" w:hAnsi="Arial" w:cs="Arial"/>
                <w:color w:val="323132"/>
                <w:sz w:val="20"/>
                <w:szCs w:val="20"/>
                <w:lang w:val="en-GB"/>
              </w:rPr>
              <w:t xml:space="preserve"> </w:t>
            </w:r>
            <w:r w:rsidR="00BD78F1" w:rsidRPr="00BD78F1">
              <w:rPr>
                <w:rFonts w:ascii="Arial" w:eastAsia="Times New Roman" w:hAnsi="Arial" w:cs="Arial"/>
                <w:color w:val="323132"/>
                <w:sz w:val="20"/>
                <w:szCs w:val="20"/>
                <w:lang w:val="en-GB"/>
              </w:rPr>
              <w:t xml:space="preserve">no later </w:t>
            </w:r>
            <w:r w:rsidR="00BD78F1" w:rsidRPr="000F21B6">
              <w:rPr>
                <w:rFonts w:ascii="Arial" w:eastAsia="Times New Roman" w:hAnsi="Arial" w:cs="Arial"/>
                <w:color w:val="323132"/>
                <w:sz w:val="20"/>
                <w:szCs w:val="20"/>
                <w:lang w:val="en-GB"/>
              </w:rPr>
              <w:t>than</w:t>
            </w:r>
            <w:r w:rsidR="00FE7AFE" w:rsidRPr="000F21B6">
              <w:rPr>
                <w:rFonts w:ascii="Arial" w:eastAsia="Times New Roman" w:hAnsi="Arial" w:cs="Arial"/>
                <w:color w:val="323132"/>
                <w:sz w:val="20"/>
                <w:szCs w:val="20"/>
                <w:lang w:val="en-GB"/>
              </w:rPr>
              <w:t xml:space="preserve"> </w:t>
            </w:r>
            <w:r w:rsidR="000F21B6" w:rsidRPr="000F21B6">
              <w:rPr>
                <w:rFonts w:ascii="Arial" w:eastAsia="Times New Roman" w:hAnsi="Arial" w:cs="Arial"/>
                <w:color w:val="323132"/>
                <w:sz w:val="20"/>
                <w:szCs w:val="20"/>
                <w:lang w:val="en-GB"/>
              </w:rPr>
              <w:t>28</w:t>
            </w:r>
            <w:r w:rsidRPr="000F21B6">
              <w:rPr>
                <w:rFonts w:ascii="Arial" w:eastAsia="Times New Roman" w:hAnsi="Arial" w:cs="Arial"/>
                <w:color w:val="323132"/>
                <w:sz w:val="20"/>
                <w:szCs w:val="20"/>
                <w:vertAlign w:val="superscript"/>
                <w:lang w:val="en-GB"/>
              </w:rPr>
              <w:t>th</w:t>
            </w:r>
            <w:r w:rsidRPr="000F21B6">
              <w:rPr>
                <w:rFonts w:ascii="Arial" w:eastAsia="Times New Roman" w:hAnsi="Arial" w:cs="Arial"/>
                <w:color w:val="323132"/>
                <w:sz w:val="20"/>
                <w:szCs w:val="20"/>
                <w:lang w:val="en-GB"/>
              </w:rPr>
              <w:t xml:space="preserve"> of </w:t>
            </w:r>
            <w:r w:rsidR="000F21B6">
              <w:rPr>
                <w:rFonts w:ascii="Arial" w:eastAsia="Times New Roman" w:hAnsi="Arial" w:cs="Arial"/>
                <w:color w:val="323132"/>
                <w:sz w:val="20"/>
                <w:szCs w:val="20"/>
                <w:lang w:val="en-GB"/>
              </w:rPr>
              <w:t>October</w:t>
            </w:r>
            <w:r w:rsidR="00BD78F1" w:rsidRPr="00BD78F1">
              <w:rPr>
                <w:rFonts w:ascii="Arial" w:eastAsia="Times New Roman" w:hAnsi="Arial" w:cs="Arial"/>
                <w:color w:val="323132"/>
                <w:sz w:val="20"/>
                <w:szCs w:val="20"/>
                <w:lang w:val="en-GB"/>
              </w:rPr>
              <w:t xml:space="preserve"> 20</w:t>
            </w:r>
            <w:r w:rsidR="00C661D3">
              <w:rPr>
                <w:rFonts w:ascii="Arial" w:eastAsia="Times New Roman" w:hAnsi="Arial" w:cs="Arial"/>
                <w:color w:val="323132"/>
                <w:sz w:val="20"/>
                <w:szCs w:val="20"/>
                <w:lang w:val="en-GB"/>
              </w:rPr>
              <w:t>2</w:t>
            </w:r>
            <w:r w:rsidR="00631AB1">
              <w:rPr>
                <w:rFonts w:ascii="Arial" w:eastAsia="Times New Roman" w:hAnsi="Arial" w:cs="Arial"/>
                <w:color w:val="323132"/>
                <w:sz w:val="20"/>
                <w:szCs w:val="20"/>
                <w:lang w:val="en-GB"/>
              </w:rPr>
              <w:t>2</w:t>
            </w:r>
            <w:r w:rsidR="00BD78F1" w:rsidRPr="00BD78F1">
              <w:rPr>
                <w:rFonts w:ascii="Arial" w:eastAsia="Times New Roman" w:hAnsi="Arial" w:cs="Arial"/>
                <w:color w:val="323132"/>
                <w:sz w:val="20"/>
                <w:szCs w:val="20"/>
                <w:lang w:val="en-GB"/>
              </w:rPr>
              <w:t>, 1</w:t>
            </w:r>
            <w:r w:rsidR="0004312F">
              <w:rPr>
                <w:rFonts w:ascii="Arial" w:eastAsia="Times New Roman" w:hAnsi="Arial" w:cs="Arial"/>
                <w:color w:val="323132"/>
                <w:sz w:val="20"/>
                <w:szCs w:val="20"/>
                <w:lang w:val="en-GB"/>
              </w:rPr>
              <w:t>6</w:t>
            </w:r>
            <w:r w:rsidR="00BD78F1" w:rsidRPr="00BD78F1">
              <w:rPr>
                <w:rFonts w:ascii="Arial" w:eastAsia="Times New Roman" w:hAnsi="Arial" w:cs="Arial"/>
                <w:color w:val="323132"/>
                <w:sz w:val="20"/>
                <w:szCs w:val="20"/>
                <w:lang w:val="en-GB"/>
              </w:rPr>
              <w:t xml:space="preserve">:00 hrs, titled: “Application for the position – </w:t>
            </w:r>
            <w:r w:rsidR="00B36758" w:rsidRPr="00B36758">
              <w:rPr>
                <w:rFonts w:ascii="Arial" w:eastAsia="Times New Roman" w:hAnsi="Arial" w:cs="Arial"/>
                <w:color w:val="323132"/>
                <w:sz w:val="20"/>
                <w:szCs w:val="20"/>
                <w:lang w:val="en-GB"/>
              </w:rPr>
              <w:t>Hydrotechnical Design Expert</w:t>
            </w:r>
            <w:r w:rsidR="00B36758">
              <w:rPr>
                <w:rFonts w:ascii="Arial" w:eastAsia="Times New Roman" w:hAnsi="Arial" w:cs="Arial"/>
                <w:color w:val="323132"/>
                <w:sz w:val="20"/>
                <w:szCs w:val="20"/>
                <w:lang w:val="en-GB"/>
              </w:rPr>
              <w:t>.</w:t>
            </w:r>
          </w:p>
          <w:p w14:paraId="169D1FAA" w14:textId="77777777" w:rsidR="00BD78F1" w:rsidRPr="00BD78F1" w:rsidRDefault="00BD78F1" w:rsidP="00BD78F1">
            <w:pPr>
              <w:spacing w:beforeLines="60" w:before="144" w:afterLines="60" w:after="144" w:line="240" w:lineRule="auto"/>
              <w:jc w:val="both"/>
              <w:rPr>
                <w:rFonts w:ascii="Arial" w:eastAsia="Times New Roman" w:hAnsi="Arial" w:cs="Arial"/>
                <w:color w:val="323132"/>
                <w:sz w:val="20"/>
                <w:szCs w:val="20"/>
                <w:lang w:val="en-GB"/>
              </w:rPr>
            </w:pPr>
            <w:r w:rsidRPr="00BD78F1">
              <w:rPr>
                <w:rFonts w:ascii="Arial" w:eastAsia="Times New Roman" w:hAnsi="Arial" w:cs="Arial"/>
                <w:color w:val="323132"/>
                <w:sz w:val="20"/>
                <w:szCs w:val="20"/>
                <w:lang w:val="en-GB"/>
              </w:rPr>
              <w:t xml:space="preserve">References must be available on request. Only short-listed candidates will be contacted. </w:t>
            </w:r>
          </w:p>
          <w:p w14:paraId="24D47DCC" w14:textId="77777777" w:rsidR="00BD78F1" w:rsidRPr="00BD78F1" w:rsidRDefault="00BD78F1" w:rsidP="00BD78F1">
            <w:pPr>
              <w:spacing w:beforeLines="60" w:before="144" w:afterLines="60" w:after="144" w:line="240" w:lineRule="auto"/>
              <w:jc w:val="both"/>
              <w:rPr>
                <w:rFonts w:ascii="Arial" w:eastAsia="Times New Roman" w:hAnsi="Arial" w:cs="Arial"/>
                <w:color w:val="323132"/>
                <w:sz w:val="20"/>
                <w:szCs w:val="20"/>
                <w:lang w:val="en-GB"/>
              </w:rPr>
            </w:pPr>
            <w:r w:rsidRPr="00BD78F1">
              <w:rPr>
                <w:rFonts w:ascii="Arial" w:eastAsia="Times New Roman" w:hAnsi="Arial" w:cs="Arial"/>
                <w:color w:val="323132"/>
                <w:sz w:val="20"/>
                <w:szCs w:val="20"/>
                <w:lang w:val="en-GB"/>
              </w:rPr>
              <w:t xml:space="preserve">The Project is an equal opportunity employer. All applications will be considered strictly confidential. </w:t>
            </w:r>
          </w:p>
          <w:p w14:paraId="3C20C877" w14:textId="77777777" w:rsidR="00BD78F1" w:rsidRPr="00754C88" w:rsidRDefault="00BD78F1" w:rsidP="00E5689C">
            <w:pPr>
              <w:spacing w:beforeLines="60" w:before="144" w:afterLines="60" w:after="144" w:line="240" w:lineRule="auto"/>
              <w:jc w:val="both"/>
              <w:rPr>
                <w:rFonts w:ascii="Arial" w:eastAsia="Times New Roman" w:hAnsi="Arial" w:cs="Arial"/>
                <w:color w:val="323132"/>
                <w:sz w:val="20"/>
                <w:szCs w:val="20"/>
                <w:lang w:val="en-GB"/>
              </w:rPr>
            </w:pPr>
          </w:p>
        </w:tc>
      </w:tr>
    </w:tbl>
    <w:p w14:paraId="052976A3" w14:textId="77777777" w:rsidR="00D23A9A" w:rsidRPr="00754C88" w:rsidRDefault="00D23A9A" w:rsidP="00754C88">
      <w:pPr>
        <w:spacing w:beforeLines="60" w:before="144" w:afterLines="60" w:after="144" w:line="240" w:lineRule="auto"/>
        <w:jc w:val="both"/>
        <w:rPr>
          <w:rFonts w:ascii="Arial" w:hAnsi="Arial" w:cs="Arial"/>
          <w:b/>
          <w:sz w:val="20"/>
          <w:szCs w:val="20"/>
          <w:lang w:val="en-GB"/>
        </w:rPr>
      </w:pPr>
    </w:p>
    <w:sectPr w:rsidR="00D23A9A" w:rsidRPr="00754C88" w:rsidSect="00CC555F">
      <w:headerReference w:type="default" r:id="rId10"/>
      <w:footerReference w:type="default" r:id="rId11"/>
      <w:pgSz w:w="11906" w:h="16838" w:code="9"/>
      <w:pgMar w:top="2070" w:right="1440" w:bottom="1440" w:left="1440"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216CF" w14:textId="77777777" w:rsidR="00821CE1" w:rsidRDefault="00821CE1" w:rsidP="0069431C">
      <w:pPr>
        <w:spacing w:after="0" w:line="240" w:lineRule="auto"/>
      </w:pPr>
      <w:r>
        <w:separator/>
      </w:r>
    </w:p>
  </w:endnote>
  <w:endnote w:type="continuationSeparator" w:id="0">
    <w:p w14:paraId="5B98C6E8" w14:textId="77777777" w:rsidR="00821CE1" w:rsidRDefault="00821CE1"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Spec="center" w:tblpY="15367"/>
      <w:tblOverlap w:val="never"/>
      <w:tblW w:w="10206" w:type="dxa"/>
      <w:tblLook w:val="04A0" w:firstRow="1" w:lastRow="0" w:firstColumn="1" w:lastColumn="0" w:noHBand="0" w:noVBand="1"/>
    </w:tblPr>
    <w:tblGrid>
      <w:gridCol w:w="2835"/>
      <w:gridCol w:w="6096"/>
      <w:gridCol w:w="1275"/>
    </w:tblGrid>
    <w:tr w:rsidR="00CC555F" w:rsidRPr="00CC555F" w14:paraId="5566B627" w14:textId="77777777" w:rsidTr="00EF651A">
      <w:trPr>
        <w:trHeight w:val="397"/>
      </w:trPr>
      <w:tc>
        <w:tcPr>
          <w:tcW w:w="2835" w:type="dxa"/>
          <w:vMerge w:val="restart"/>
          <w:shd w:val="clear" w:color="auto" w:fill="auto"/>
          <w:tcMar>
            <w:left w:w="0" w:type="dxa"/>
            <w:right w:w="85" w:type="dxa"/>
          </w:tcMar>
          <w:vAlign w:val="center"/>
        </w:tcPr>
        <w:p w14:paraId="5B65E5D1" w14:textId="4C3B08A8" w:rsidR="00CC555F" w:rsidRPr="00CC555F" w:rsidRDefault="00CC555F" w:rsidP="00CC555F">
          <w:pPr>
            <w:tabs>
              <w:tab w:val="center" w:pos="4680"/>
              <w:tab w:val="right" w:pos="9360"/>
            </w:tabs>
            <w:spacing w:after="0" w:line="240" w:lineRule="auto"/>
            <w:rPr>
              <w:rFonts w:ascii="Calibri" w:eastAsia="Calibri" w:hAnsi="Calibri" w:cs="Arial"/>
            </w:rPr>
          </w:pPr>
          <w:r w:rsidRPr="00CC555F">
            <w:rPr>
              <w:rFonts w:ascii="Calibri" w:eastAsia="Calibri" w:hAnsi="Calibri" w:cs="Arial"/>
              <w:noProof/>
            </w:rPr>
            <w:drawing>
              <wp:inline distT="0" distB="0" distL="0" distR="0" wp14:anchorId="2919BC9F" wp14:editId="133DFDB7">
                <wp:extent cx="1695450" cy="476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76250"/>
                        </a:xfrm>
                        <a:prstGeom prst="rect">
                          <a:avLst/>
                        </a:prstGeom>
                        <a:noFill/>
                        <a:ln>
                          <a:noFill/>
                        </a:ln>
                      </pic:spPr>
                    </pic:pic>
                  </a:graphicData>
                </a:graphic>
              </wp:inline>
            </w:drawing>
          </w:r>
        </w:p>
      </w:tc>
      <w:tc>
        <w:tcPr>
          <w:tcW w:w="6096" w:type="dxa"/>
          <w:shd w:val="clear" w:color="auto" w:fill="auto"/>
          <w:vAlign w:val="center"/>
        </w:tcPr>
        <w:p w14:paraId="6F2E7CC2" w14:textId="77777777" w:rsidR="00CC555F" w:rsidRPr="00CC555F" w:rsidRDefault="00CC555F" w:rsidP="00CC555F">
          <w:pPr>
            <w:tabs>
              <w:tab w:val="center" w:pos="4680"/>
              <w:tab w:val="right" w:pos="9360"/>
            </w:tabs>
            <w:spacing w:after="0" w:line="240" w:lineRule="auto"/>
            <w:rPr>
              <w:rFonts w:ascii="Calibri" w:eastAsia="Calibri" w:hAnsi="Calibri" w:cs="Arial"/>
            </w:rPr>
          </w:pPr>
        </w:p>
      </w:tc>
      <w:tc>
        <w:tcPr>
          <w:tcW w:w="1275" w:type="dxa"/>
          <w:shd w:val="clear" w:color="auto" w:fill="auto"/>
          <w:vAlign w:val="center"/>
        </w:tcPr>
        <w:p w14:paraId="657505A7" w14:textId="77777777" w:rsidR="00CC555F" w:rsidRPr="00CC555F" w:rsidRDefault="00CC555F" w:rsidP="00CC555F">
          <w:pPr>
            <w:tabs>
              <w:tab w:val="center" w:pos="4680"/>
              <w:tab w:val="right" w:pos="9360"/>
            </w:tabs>
            <w:spacing w:after="0" w:line="240" w:lineRule="auto"/>
            <w:jc w:val="center"/>
            <w:rPr>
              <w:rFonts w:ascii="Arial Narrow" w:eastAsia="Calibri" w:hAnsi="Arial Narrow" w:cs="Arial"/>
              <w:color w:val="FF0000"/>
              <w:sz w:val="14"/>
              <w:lang w:val="sr-Cyrl-RS"/>
            </w:rPr>
          </w:pPr>
        </w:p>
      </w:tc>
    </w:tr>
    <w:tr w:rsidR="00CC555F" w:rsidRPr="00CC555F" w14:paraId="66CAB0B5" w14:textId="77777777" w:rsidTr="00EF651A">
      <w:trPr>
        <w:trHeight w:val="113"/>
      </w:trPr>
      <w:tc>
        <w:tcPr>
          <w:tcW w:w="2835" w:type="dxa"/>
          <w:vMerge/>
          <w:shd w:val="clear" w:color="auto" w:fill="auto"/>
          <w:vAlign w:val="center"/>
        </w:tcPr>
        <w:p w14:paraId="6066D1E1" w14:textId="77777777" w:rsidR="00CC555F" w:rsidRPr="00CC555F" w:rsidRDefault="00CC555F" w:rsidP="00CC555F">
          <w:pPr>
            <w:tabs>
              <w:tab w:val="center" w:pos="4680"/>
              <w:tab w:val="right" w:pos="9360"/>
            </w:tabs>
            <w:spacing w:after="0" w:line="240" w:lineRule="auto"/>
            <w:rPr>
              <w:rFonts w:ascii="Calibri" w:eastAsia="Calibri" w:hAnsi="Calibri" w:cs="Arial"/>
              <w:sz w:val="4"/>
            </w:rPr>
          </w:pPr>
        </w:p>
      </w:tc>
      <w:tc>
        <w:tcPr>
          <w:tcW w:w="6096" w:type="dxa"/>
          <w:shd w:val="clear" w:color="auto" w:fill="auto"/>
          <w:vAlign w:val="center"/>
        </w:tcPr>
        <w:p w14:paraId="638E8B2A" w14:textId="77777777" w:rsidR="00CC555F" w:rsidRPr="00CC555F" w:rsidRDefault="00CC555F" w:rsidP="00CC555F">
          <w:pPr>
            <w:tabs>
              <w:tab w:val="center" w:pos="4680"/>
              <w:tab w:val="right" w:pos="9360"/>
            </w:tabs>
            <w:spacing w:after="0" w:line="240" w:lineRule="auto"/>
            <w:rPr>
              <w:rFonts w:ascii="Calibri" w:eastAsia="Calibri" w:hAnsi="Calibri" w:cs="Arial"/>
              <w:sz w:val="4"/>
            </w:rPr>
          </w:pPr>
        </w:p>
      </w:tc>
      <w:tc>
        <w:tcPr>
          <w:tcW w:w="1275" w:type="dxa"/>
          <w:shd w:val="clear" w:color="auto" w:fill="auto"/>
          <w:vAlign w:val="center"/>
        </w:tcPr>
        <w:p w14:paraId="6E7DAFB5" w14:textId="77777777" w:rsidR="00CC555F" w:rsidRPr="00CC555F" w:rsidRDefault="00CC555F" w:rsidP="00CC555F">
          <w:pPr>
            <w:tabs>
              <w:tab w:val="center" w:pos="4680"/>
              <w:tab w:val="right" w:pos="9360"/>
            </w:tabs>
            <w:spacing w:after="0" w:line="240" w:lineRule="auto"/>
            <w:rPr>
              <w:rFonts w:ascii="Calibri" w:eastAsia="Calibri" w:hAnsi="Calibri" w:cs="Arial"/>
              <w:sz w:val="4"/>
            </w:rPr>
          </w:pPr>
        </w:p>
      </w:tc>
    </w:tr>
    <w:tr w:rsidR="00CC555F" w:rsidRPr="00CC555F" w14:paraId="3B362632" w14:textId="77777777" w:rsidTr="00EF651A">
      <w:trPr>
        <w:trHeight w:val="397"/>
      </w:trPr>
      <w:tc>
        <w:tcPr>
          <w:tcW w:w="2835" w:type="dxa"/>
          <w:vMerge/>
          <w:shd w:val="clear" w:color="auto" w:fill="auto"/>
          <w:vAlign w:val="center"/>
        </w:tcPr>
        <w:p w14:paraId="08E9F6A2" w14:textId="77777777" w:rsidR="00CC555F" w:rsidRPr="00CC555F" w:rsidRDefault="00CC555F" w:rsidP="00CC555F">
          <w:pPr>
            <w:tabs>
              <w:tab w:val="center" w:pos="4680"/>
              <w:tab w:val="right" w:pos="9360"/>
            </w:tabs>
            <w:spacing w:after="0" w:line="240" w:lineRule="auto"/>
            <w:rPr>
              <w:rFonts w:ascii="Calibri" w:eastAsia="Calibri" w:hAnsi="Calibri" w:cs="Arial"/>
            </w:rPr>
          </w:pPr>
        </w:p>
      </w:tc>
      <w:tc>
        <w:tcPr>
          <w:tcW w:w="7371" w:type="dxa"/>
          <w:gridSpan w:val="2"/>
          <w:shd w:val="clear" w:color="auto" w:fill="003399"/>
          <w:vAlign w:val="center"/>
        </w:tcPr>
        <w:p w14:paraId="12A76764" w14:textId="77777777" w:rsidR="00CC555F" w:rsidRPr="00CC555F" w:rsidRDefault="00CC555F" w:rsidP="00CC555F">
          <w:pPr>
            <w:tabs>
              <w:tab w:val="center" w:pos="4680"/>
              <w:tab w:val="right" w:pos="9360"/>
            </w:tabs>
            <w:spacing w:after="0" w:line="240" w:lineRule="auto"/>
            <w:jc w:val="center"/>
            <w:rPr>
              <w:rFonts w:ascii="Arial" w:eastAsia="Calibri" w:hAnsi="Arial" w:cs="Arial"/>
              <w:b/>
              <w:color w:val="FFFFFF"/>
              <w:sz w:val="16"/>
              <w:lang w:val="it-IT"/>
            </w:rPr>
          </w:pPr>
          <w:r w:rsidRPr="00CC555F">
            <w:rPr>
              <w:rFonts w:ascii="Arial" w:eastAsia="Calibri" w:hAnsi="Arial" w:cs="Arial"/>
              <w:b/>
              <w:color w:val="FFFFFF"/>
              <w:sz w:val="16"/>
            </w:rPr>
            <w:t xml:space="preserve">Bul. </w:t>
          </w:r>
          <w:proofErr w:type="spellStart"/>
          <w:r w:rsidRPr="00CC555F">
            <w:rPr>
              <w:rFonts w:ascii="Arial" w:eastAsia="Calibri" w:hAnsi="Arial" w:cs="Arial"/>
              <w:b/>
              <w:color w:val="FFFFFF"/>
              <w:sz w:val="16"/>
            </w:rPr>
            <w:t>Vojvode</w:t>
          </w:r>
          <w:proofErr w:type="spellEnd"/>
          <w:r w:rsidRPr="00CC555F">
            <w:rPr>
              <w:rFonts w:ascii="Arial" w:eastAsia="Calibri" w:hAnsi="Arial" w:cs="Arial"/>
              <w:b/>
              <w:color w:val="FFFFFF"/>
              <w:sz w:val="16"/>
            </w:rPr>
            <w:t xml:space="preserve"> </w:t>
          </w:r>
          <w:proofErr w:type="spellStart"/>
          <w:r w:rsidRPr="00CC555F">
            <w:rPr>
              <w:rFonts w:ascii="Arial" w:eastAsia="Calibri" w:hAnsi="Arial" w:cs="Arial"/>
              <w:b/>
              <w:color w:val="FFFFFF"/>
              <w:sz w:val="16"/>
            </w:rPr>
            <w:t>Mišića</w:t>
          </w:r>
          <w:proofErr w:type="spellEnd"/>
          <w:r w:rsidRPr="00CC555F">
            <w:rPr>
              <w:rFonts w:ascii="Arial" w:eastAsia="Calibri" w:hAnsi="Arial" w:cs="Arial"/>
              <w:b/>
              <w:color w:val="FFFFFF"/>
              <w:sz w:val="16"/>
            </w:rPr>
            <w:t xml:space="preserve"> 15a, 11000 Belgrade, </w:t>
          </w:r>
          <w:proofErr w:type="gramStart"/>
          <w:r w:rsidRPr="00CC555F">
            <w:rPr>
              <w:rFonts w:ascii="Arial" w:eastAsia="Calibri" w:hAnsi="Arial" w:cs="Arial"/>
              <w:b/>
              <w:color w:val="FFFFFF"/>
              <w:sz w:val="16"/>
            </w:rPr>
            <w:t>Serbia  I</w:t>
          </w:r>
          <w:proofErr w:type="gramEnd"/>
          <w:r w:rsidRPr="00CC555F">
            <w:rPr>
              <w:rFonts w:ascii="Arial" w:eastAsia="Calibri" w:hAnsi="Arial" w:cs="Arial"/>
              <w:b/>
              <w:color w:val="FFFFFF"/>
              <w:sz w:val="16"/>
            </w:rPr>
            <w:t xml:space="preserve">  Tel: +381 11 40 40 721  I  www.ppf.rs</w:t>
          </w:r>
        </w:p>
      </w:tc>
    </w:tr>
  </w:tbl>
  <w:p w14:paraId="75A77873" w14:textId="77777777" w:rsidR="008526B0" w:rsidRDefault="0085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5354" w14:textId="77777777" w:rsidR="00821CE1" w:rsidRDefault="00821CE1" w:rsidP="0069431C">
      <w:pPr>
        <w:spacing w:after="0" w:line="240" w:lineRule="auto"/>
      </w:pPr>
      <w:r>
        <w:separator/>
      </w:r>
    </w:p>
  </w:footnote>
  <w:footnote w:type="continuationSeparator" w:id="0">
    <w:p w14:paraId="501C825E" w14:textId="77777777" w:rsidR="00821CE1" w:rsidRDefault="00821CE1"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F880" w14:textId="0924D508" w:rsidR="0069431C" w:rsidRDefault="00CC555F">
    <w:pPr>
      <w:pStyle w:val="Header"/>
    </w:pPr>
    <w:r>
      <w:rPr>
        <w:noProof/>
      </w:rPr>
      <w:drawing>
        <wp:anchor distT="0" distB="0" distL="114300" distR="114300" simplePos="0" relativeHeight="251658240" behindDoc="1" locked="0" layoutInCell="1" allowOverlap="1" wp14:anchorId="4D4FA6AD" wp14:editId="0AAA5962">
          <wp:simplePos x="0" y="0"/>
          <wp:positionH relativeFrom="margin">
            <wp:align>right</wp:align>
          </wp:positionH>
          <wp:positionV relativeFrom="page">
            <wp:posOffset>217170</wp:posOffset>
          </wp:positionV>
          <wp:extent cx="5731510" cy="1031875"/>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31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779FE"/>
    <w:multiLevelType w:val="hybridMultilevel"/>
    <w:tmpl w:val="D156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3"/>
  </w:num>
  <w:num w:numId="4">
    <w:abstractNumId w:val="23"/>
  </w:num>
  <w:num w:numId="5">
    <w:abstractNumId w:val="10"/>
  </w:num>
  <w:num w:numId="6">
    <w:abstractNumId w:val="7"/>
  </w:num>
  <w:num w:numId="7">
    <w:abstractNumId w:val="6"/>
  </w:num>
  <w:num w:numId="8">
    <w:abstractNumId w:val="18"/>
  </w:num>
  <w:num w:numId="9">
    <w:abstractNumId w:val="22"/>
  </w:num>
  <w:num w:numId="10">
    <w:abstractNumId w:val="20"/>
  </w:num>
  <w:num w:numId="11">
    <w:abstractNumId w:val="14"/>
  </w:num>
  <w:num w:numId="12">
    <w:abstractNumId w:val="16"/>
  </w:num>
  <w:num w:numId="13">
    <w:abstractNumId w:val="11"/>
  </w:num>
  <w:num w:numId="14">
    <w:abstractNumId w:val="19"/>
  </w:num>
  <w:num w:numId="15">
    <w:abstractNumId w:val="8"/>
  </w:num>
  <w:num w:numId="16">
    <w:abstractNumId w:val="12"/>
  </w:num>
  <w:num w:numId="17">
    <w:abstractNumId w:val="4"/>
  </w:num>
  <w:num w:numId="18">
    <w:abstractNumId w:val="0"/>
  </w:num>
  <w:num w:numId="19">
    <w:abstractNumId w:val="1"/>
  </w:num>
  <w:num w:numId="20">
    <w:abstractNumId w:val="24"/>
  </w:num>
  <w:num w:numId="21">
    <w:abstractNumId w:val="21"/>
  </w:num>
  <w:num w:numId="22">
    <w:abstractNumId w:val="17"/>
  </w:num>
  <w:num w:numId="23">
    <w:abstractNumId w:val="9"/>
  </w:num>
  <w:num w:numId="24">
    <w:abstractNumId w:val="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20AF6"/>
    <w:rsid w:val="0003763C"/>
    <w:rsid w:val="00040CF5"/>
    <w:rsid w:val="0004312F"/>
    <w:rsid w:val="000508DA"/>
    <w:rsid w:val="00052B00"/>
    <w:rsid w:val="00072338"/>
    <w:rsid w:val="000817DD"/>
    <w:rsid w:val="00082AAC"/>
    <w:rsid w:val="00086697"/>
    <w:rsid w:val="000932FA"/>
    <w:rsid w:val="00095755"/>
    <w:rsid w:val="00095CCD"/>
    <w:rsid w:val="000A75D4"/>
    <w:rsid w:val="000B628F"/>
    <w:rsid w:val="000D141E"/>
    <w:rsid w:val="000F21B6"/>
    <w:rsid w:val="001178B0"/>
    <w:rsid w:val="00123AA3"/>
    <w:rsid w:val="001277B4"/>
    <w:rsid w:val="001410B0"/>
    <w:rsid w:val="00146F4E"/>
    <w:rsid w:val="00183177"/>
    <w:rsid w:val="00186D2C"/>
    <w:rsid w:val="001D2643"/>
    <w:rsid w:val="001D2B9E"/>
    <w:rsid w:val="002102FB"/>
    <w:rsid w:val="00214860"/>
    <w:rsid w:val="00281A3E"/>
    <w:rsid w:val="00286E1E"/>
    <w:rsid w:val="00287E50"/>
    <w:rsid w:val="00292FF1"/>
    <w:rsid w:val="002A0749"/>
    <w:rsid w:val="002A1B96"/>
    <w:rsid w:val="002A6CAC"/>
    <w:rsid w:val="002C0235"/>
    <w:rsid w:val="002C386D"/>
    <w:rsid w:val="002D1A04"/>
    <w:rsid w:val="002D1C38"/>
    <w:rsid w:val="00300C41"/>
    <w:rsid w:val="00302D19"/>
    <w:rsid w:val="003030F2"/>
    <w:rsid w:val="003037FA"/>
    <w:rsid w:val="00320851"/>
    <w:rsid w:val="0032226D"/>
    <w:rsid w:val="003606F7"/>
    <w:rsid w:val="00371161"/>
    <w:rsid w:val="0039118A"/>
    <w:rsid w:val="003A2B79"/>
    <w:rsid w:val="003D3F88"/>
    <w:rsid w:val="003E7277"/>
    <w:rsid w:val="0040694E"/>
    <w:rsid w:val="004256D0"/>
    <w:rsid w:val="004267F9"/>
    <w:rsid w:val="00457A0B"/>
    <w:rsid w:val="0048517E"/>
    <w:rsid w:val="00496A19"/>
    <w:rsid w:val="004E53C9"/>
    <w:rsid w:val="004E566D"/>
    <w:rsid w:val="004F2448"/>
    <w:rsid w:val="00513081"/>
    <w:rsid w:val="00540934"/>
    <w:rsid w:val="00584E3C"/>
    <w:rsid w:val="0059172E"/>
    <w:rsid w:val="005A6233"/>
    <w:rsid w:val="005B4B05"/>
    <w:rsid w:val="005B4C7A"/>
    <w:rsid w:val="005D5CE2"/>
    <w:rsid w:val="005F6DA4"/>
    <w:rsid w:val="00603DAD"/>
    <w:rsid w:val="006067F3"/>
    <w:rsid w:val="00606B12"/>
    <w:rsid w:val="006162F9"/>
    <w:rsid w:val="006254EF"/>
    <w:rsid w:val="00631AB1"/>
    <w:rsid w:val="00631CC5"/>
    <w:rsid w:val="00633BDC"/>
    <w:rsid w:val="0063747A"/>
    <w:rsid w:val="00643ADF"/>
    <w:rsid w:val="00645A5E"/>
    <w:rsid w:val="00684526"/>
    <w:rsid w:val="0069431C"/>
    <w:rsid w:val="006A21C0"/>
    <w:rsid w:val="006A6CDD"/>
    <w:rsid w:val="006C04C0"/>
    <w:rsid w:val="006C28B5"/>
    <w:rsid w:val="006D1078"/>
    <w:rsid w:val="006D48E7"/>
    <w:rsid w:val="006E77EA"/>
    <w:rsid w:val="006F714E"/>
    <w:rsid w:val="006F766F"/>
    <w:rsid w:val="00703882"/>
    <w:rsid w:val="007100BA"/>
    <w:rsid w:val="007317B1"/>
    <w:rsid w:val="007452E3"/>
    <w:rsid w:val="007542DE"/>
    <w:rsid w:val="00754C88"/>
    <w:rsid w:val="007731E5"/>
    <w:rsid w:val="00785C38"/>
    <w:rsid w:val="00791F92"/>
    <w:rsid w:val="007A6E08"/>
    <w:rsid w:val="007A74A8"/>
    <w:rsid w:val="007B0DFD"/>
    <w:rsid w:val="00801C63"/>
    <w:rsid w:val="00811379"/>
    <w:rsid w:val="00814204"/>
    <w:rsid w:val="00820DDB"/>
    <w:rsid w:val="00821CE1"/>
    <w:rsid w:val="00824154"/>
    <w:rsid w:val="00833FA6"/>
    <w:rsid w:val="008346DF"/>
    <w:rsid w:val="008526B0"/>
    <w:rsid w:val="00877FC1"/>
    <w:rsid w:val="008838E3"/>
    <w:rsid w:val="0089337E"/>
    <w:rsid w:val="00893661"/>
    <w:rsid w:val="008948EA"/>
    <w:rsid w:val="008A789A"/>
    <w:rsid w:val="008D2004"/>
    <w:rsid w:val="008E4529"/>
    <w:rsid w:val="00902A7D"/>
    <w:rsid w:val="0090301F"/>
    <w:rsid w:val="009173DF"/>
    <w:rsid w:val="00917588"/>
    <w:rsid w:val="00975AD7"/>
    <w:rsid w:val="009916DB"/>
    <w:rsid w:val="00991915"/>
    <w:rsid w:val="009943AD"/>
    <w:rsid w:val="009D43EB"/>
    <w:rsid w:val="00A35756"/>
    <w:rsid w:val="00A516EB"/>
    <w:rsid w:val="00A664A4"/>
    <w:rsid w:val="00A96177"/>
    <w:rsid w:val="00A977C7"/>
    <w:rsid w:val="00A978D5"/>
    <w:rsid w:val="00AC7007"/>
    <w:rsid w:val="00AD6291"/>
    <w:rsid w:val="00AE3C13"/>
    <w:rsid w:val="00AE5483"/>
    <w:rsid w:val="00AE7F76"/>
    <w:rsid w:val="00AF4A74"/>
    <w:rsid w:val="00AF5FC6"/>
    <w:rsid w:val="00AF7B07"/>
    <w:rsid w:val="00B04EBB"/>
    <w:rsid w:val="00B1545F"/>
    <w:rsid w:val="00B17883"/>
    <w:rsid w:val="00B36758"/>
    <w:rsid w:val="00B66285"/>
    <w:rsid w:val="00B838E4"/>
    <w:rsid w:val="00B9338B"/>
    <w:rsid w:val="00BA765A"/>
    <w:rsid w:val="00BB2938"/>
    <w:rsid w:val="00BC59DE"/>
    <w:rsid w:val="00BC5FC1"/>
    <w:rsid w:val="00BD490E"/>
    <w:rsid w:val="00BD78F1"/>
    <w:rsid w:val="00C075D3"/>
    <w:rsid w:val="00C41515"/>
    <w:rsid w:val="00C4385B"/>
    <w:rsid w:val="00C458FE"/>
    <w:rsid w:val="00C47EF1"/>
    <w:rsid w:val="00C516F1"/>
    <w:rsid w:val="00C64B7E"/>
    <w:rsid w:val="00C661D3"/>
    <w:rsid w:val="00C741A7"/>
    <w:rsid w:val="00C91E00"/>
    <w:rsid w:val="00CA5EFB"/>
    <w:rsid w:val="00CB2F1A"/>
    <w:rsid w:val="00CB39A2"/>
    <w:rsid w:val="00CC4211"/>
    <w:rsid w:val="00CC555F"/>
    <w:rsid w:val="00CE40C3"/>
    <w:rsid w:val="00D17025"/>
    <w:rsid w:val="00D20E06"/>
    <w:rsid w:val="00D23A9A"/>
    <w:rsid w:val="00D270DF"/>
    <w:rsid w:val="00D52A42"/>
    <w:rsid w:val="00D82215"/>
    <w:rsid w:val="00D87D53"/>
    <w:rsid w:val="00D90C46"/>
    <w:rsid w:val="00D91EFE"/>
    <w:rsid w:val="00D94EDA"/>
    <w:rsid w:val="00DA0116"/>
    <w:rsid w:val="00DB067D"/>
    <w:rsid w:val="00DE1208"/>
    <w:rsid w:val="00DE17D8"/>
    <w:rsid w:val="00DE5707"/>
    <w:rsid w:val="00DF52DC"/>
    <w:rsid w:val="00DF7B22"/>
    <w:rsid w:val="00E14298"/>
    <w:rsid w:val="00E2144D"/>
    <w:rsid w:val="00E2385C"/>
    <w:rsid w:val="00E24F39"/>
    <w:rsid w:val="00E2705D"/>
    <w:rsid w:val="00E34282"/>
    <w:rsid w:val="00E428D4"/>
    <w:rsid w:val="00E46741"/>
    <w:rsid w:val="00E513A2"/>
    <w:rsid w:val="00E5689C"/>
    <w:rsid w:val="00E93268"/>
    <w:rsid w:val="00EA4B19"/>
    <w:rsid w:val="00EA767B"/>
    <w:rsid w:val="00EB120A"/>
    <w:rsid w:val="00ED471A"/>
    <w:rsid w:val="00EE257D"/>
    <w:rsid w:val="00EE6A93"/>
    <w:rsid w:val="00EF1E5D"/>
    <w:rsid w:val="00F06AC3"/>
    <w:rsid w:val="00F16094"/>
    <w:rsid w:val="00F21A39"/>
    <w:rsid w:val="00F27986"/>
    <w:rsid w:val="00F4605E"/>
    <w:rsid w:val="00F5322B"/>
    <w:rsid w:val="00F85471"/>
    <w:rsid w:val="00F9305B"/>
    <w:rsid w:val="00FC0994"/>
    <w:rsid w:val="00FE027F"/>
    <w:rsid w:val="00FE02C3"/>
    <w:rsid w:val="00FE0E64"/>
    <w:rsid w:val="00FE7AFE"/>
    <w:rsid w:val="00FF4509"/>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jcho.jovanoski@ws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an.rankovic2@wsp.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4E67-6D01-4DE9-8584-03B90BD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898</Words>
  <Characters>5119</Characters>
  <Application>Microsoft Office Word</Application>
  <DocSecurity>0</DocSecurity>
  <Lines>42</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Rankovic, Ivan</cp:lastModifiedBy>
  <cp:revision>32</cp:revision>
  <cp:lastPrinted>2019-11-06T10:10:00Z</cp:lastPrinted>
  <dcterms:created xsi:type="dcterms:W3CDTF">2019-08-28T14:29:00Z</dcterms:created>
  <dcterms:modified xsi:type="dcterms:W3CDTF">2022-10-26T09:23:00Z</dcterms:modified>
</cp:coreProperties>
</file>